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2D" w:rsidRPr="001D212D" w:rsidRDefault="001D212D" w:rsidP="001D212D">
      <w:pPr>
        <w:jc w:val="center"/>
        <w:rPr>
          <w:rFonts w:ascii="Arial Nova Cond Light" w:hAnsi="Arial Nova Cond Light" w:cs="Tahoma"/>
          <w:caps/>
          <w:sz w:val="48"/>
          <w:szCs w:val="48"/>
        </w:rPr>
      </w:pPr>
      <w:r w:rsidRPr="001D212D">
        <w:rPr>
          <w:rFonts w:ascii="Arial Nova Cond Light" w:hAnsi="Arial Nova Cond Light" w:cs="Tahoma"/>
          <w:caps/>
          <w:sz w:val="48"/>
          <w:szCs w:val="48"/>
        </w:rPr>
        <w:t>Vysoká škola ekonomická</w:t>
      </w:r>
    </w:p>
    <w:p w:rsidR="001D212D" w:rsidRPr="001D212D" w:rsidRDefault="001D212D" w:rsidP="001D212D">
      <w:pPr>
        <w:jc w:val="center"/>
        <w:rPr>
          <w:rFonts w:ascii="Arial Nova Cond Light" w:hAnsi="Arial Nova Cond Light"/>
          <w:sz w:val="44"/>
          <w:szCs w:val="44"/>
        </w:rPr>
      </w:pPr>
      <w:r w:rsidRPr="001D212D">
        <w:rPr>
          <w:rFonts w:ascii="Arial Nova Cond Light" w:hAnsi="Arial Nova Cond Light"/>
          <w:sz w:val="44"/>
          <w:szCs w:val="44"/>
        </w:rPr>
        <w:t>Fakulta podnikohospodářská</w:t>
      </w:r>
    </w:p>
    <w:p w:rsidR="001D212D" w:rsidRDefault="001D212D" w:rsidP="001D212D">
      <w:pPr>
        <w:rPr>
          <w:rFonts w:cs="Tahoma"/>
          <w:lang w:val="de-DE"/>
        </w:rPr>
      </w:pPr>
    </w:p>
    <w:p w:rsidR="001D212D" w:rsidRDefault="001D212D" w:rsidP="001D212D">
      <w:pPr>
        <w:jc w:val="center"/>
        <w:rPr>
          <w:rFonts w:cs="Tahoma"/>
        </w:rPr>
      </w:pPr>
      <w:r>
        <w:rPr>
          <w:noProof/>
        </w:rPr>
        <w:drawing>
          <wp:inline distT="0" distB="0" distL="0" distR="0" wp14:anchorId="23BC9EED" wp14:editId="1629A96A">
            <wp:extent cx="2238375" cy="2207962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12" cy="22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2D" w:rsidRDefault="001D212D" w:rsidP="001D212D">
      <w:pPr>
        <w:jc w:val="center"/>
        <w:rPr>
          <w:sz w:val="40"/>
          <w:szCs w:val="40"/>
        </w:rPr>
      </w:pPr>
    </w:p>
    <w:p w:rsidR="0092584C" w:rsidRDefault="0092584C" w:rsidP="0092584C">
      <w:pPr>
        <w:jc w:val="center"/>
        <w:rPr>
          <w:rFonts w:ascii="Arial Nova Cond Light" w:hAnsi="Arial Nova Cond Light"/>
          <w:sz w:val="32"/>
          <w:szCs w:val="32"/>
        </w:rPr>
      </w:pPr>
    </w:p>
    <w:p w:rsidR="0092584C" w:rsidRPr="0092584C" w:rsidRDefault="0092584C" w:rsidP="0092584C">
      <w:pPr>
        <w:jc w:val="center"/>
        <w:rPr>
          <w:rFonts w:ascii="Arial Nova Cond Light" w:hAnsi="Arial Nova Cond Light"/>
          <w:sz w:val="32"/>
          <w:szCs w:val="32"/>
        </w:rPr>
      </w:pPr>
      <w:r w:rsidRPr="0092584C">
        <w:rPr>
          <w:rFonts w:ascii="Arial Nova Cond Light" w:hAnsi="Arial Nova Cond Light"/>
          <w:sz w:val="32"/>
          <w:szCs w:val="32"/>
        </w:rPr>
        <w:t>Výzkumný projekt TAČR TL02000467</w:t>
      </w:r>
    </w:p>
    <w:p w:rsidR="001D212D" w:rsidRDefault="00D80DA7" w:rsidP="0092584C">
      <w:pPr>
        <w:jc w:val="center"/>
        <w:rPr>
          <w:rFonts w:ascii="Arial Nova Cond Light" w:hAnsi="Arial Nova Cond Light"/>
          <w:sz w:val="24"/>
          <w:szCs w:val="24"/>
        </w:rPr>
      </w:pPr>
      <w:r w:rsidRPr="0092584C">
        <w:rPr>
          <w:rFonts w:ascii="Arial Nova Cond Light" w:hAnsi="Arial Nova Cond Light"/>
          <w:sz w:val="24"/>
          <w:szCs w:val="24"/>
        </w:rPr>
        <w:t xml:space="preserve">Vývoj preventivních </w:t>
      </w:r>
      <w:proofErr w:type="spellStart"/>
      <w:r w:rsidRPr="0092584C">
        <w:rPr>
          <w:rFonts w:ascii="Arial Nova Cond Light" w:hAnsi="Arial Nova Cond Light"/>
          <w:sz w:val="24"/>
          <w:szCs w:val="24"/>
        </w:rPr>
        <w:t>předinsolvečních</w:t>
      </w:r>
      <w:proofErr w:type="spellEnd"/>
      <w:r w:rsidRPr="0092584C">
        <w:rPr>
          <w:rFonts w:ascii="Arial Nova Cond Light" w:hAnsi="Arial Nova Cond Light"/>
          <w:sz w:val="24"/>
          <w:szCs w:val="24"/>
        </w:rPr>
        <w:t xml:space="preserve"> a insolvenčních restrukturalizací</w:t>
      </w:r>
      <w:r w:rsidR="0092584C" w:rsidRPr="0092584C">
        <w:rPr>
          <w:rFonts w:ascii="Arial Nova Cond Light" w:hAnsi="Arial Nova Cond Light"/>
          <w:sz w:val="24"/>
          <w:szCs w:val="24"/>
        </w:rPr>
        <w:t xml:space="preserve"> </w:t>
      </w:r>
      <w:r w:rsidRPr="0092584C">
        <w:rPr>
          <w:rFonts w:ascii="Arial Nova Cond Light" w:hAnsi="Arial Nova Cond Light"/>
          <w:sz w:val="24"/>
          <w:szCs w:val="24"/>
        </w:rPr>
        <w:t>podniků ve finančních obtížích, možnosti zvýšení využívání a úspěšnosti</w:t>
      </w:r>
      <w:r w:rsidR="0092584C" w:rsidRPr="0092584C">
        <w:rPr>
          <w:rFonts w:ascii="Arial Nova Cond Light" w:hAnsi="Arial Nova Cond Light"/>
          <w:sz w:val="24"/>
          <w:szCs w:val="24"/>
        </w:rPr>
        <w:t xml:space="preserve"> </w:t>
      </w:r>
      <w:r w:rsidRPr="0092584C">
        <w:rPr>
          <w:rFonts w:ascii="Arial Nova Cond Light" w:hAnsi="Arial Nova Cond Light"/>
          <w:sz w:val="24"/>
          <w:szCs w:val="24"/>
        </w:rPr>
        <w:t>těchto postupů pomocí stanovení systému včasného varování a</w:t>
      </w:r>
      <w:r w:rsidR="0092584C">
        <w:rPr>
          <w:rFonts w:ascii="Arial Nova Cond Light" w:hAnsi="Arial Nova Cond Light"/>
          <w:sz w:val="24"/>
          <w:szCs w:val="24"/>
        </w:rPr>
        <w:t> </w:t>
      </w:r>
      <w:r w:rsidRPr="0092584C">
        <w:rPr>
          <w:rFonts w:ascii="Arial Nova Cond Light" w:hAnsi="Arial Nova Cond Light"/>
          <w:sz w:val="24"/>
          <w:szCs w:val="24"/>
        </w:rPr>
        <w:t>stanovení</w:t>
      </w:r>
      <w:r w:rsidR="0092584C" w:rsidRPr="0092584C">
        <w:rPr>
          <w:rFonts w:ascii="Arial Nova Cond Light" w:hAnsi="Arial Nova Cond Light"/>
          <w:sz w:val="24"/>
          <w:szCs w:val="24"/>
        </w:rPr>
        <w:t xml:space="preserve"> </w:t>
      </w:r>
      <w:r w:rsidRPr="0092584C">
        <w:rPr>
          <w:rFonts w:ascii="Arial Nova Cond Light" w:hAnsi="Arial Nova Cond Light"/>
          <w:sz w:val="24"/>
          <w:szCs w:val="24"/>
        </w:rPr>
        <w:t>postupů pro preventivní restrukturalizace</w:t>
      </w:r>
    </w:p>
    <w:p w:rsidR="00B71C34" w:rsidRDefault="00B71C34" w:rsidP="0092584C">
      <w:pPr>
        <w:jc w:val="center"/>
        <w:rPr>
          <w:rFonts w:ascii="Arial Nova Cond Light" w:hAnsi="Arial Nova Cond Light"/>
          <w:sz w:val="24"/>
          <w:szCs w:val="24"/>
        </w:rPr>
      </w:pPr>
    </w:p>
    <w:p w:rsidR="00B71C34" w:rsidRDefault="00B71C34" w:rsidP="0092584C">
      <w:pPr>
        <w:jc w:val="center"/>
        <w:rPr>
          <w:rFonts w:ascii="Arial Nova Cond Light" w:hAnsi="Arial Nova Cond Light"/>
          <w:sz w:val="24"/>
          <w:szCs w:val="24"/>
        </w:rPr>
      </w:pPr>
    </w:p>
    <w:p w:rsidR="00B71C34" w:rsidRDefault="00B71C34" w:rsidP="0092584C">
      <w:pPr>
        <w:jc w:val="center"/>
        <w:rPr>
          <w:rFonts w:ascii="Arial Nova Cond Light" w:hAnsi="Arial Nova Cond Light"/>
          <w:sz w:val="24"/>
          <w:szCs w:val="24"/>
        </w:rPr>
      </w:pPr>
    </w:p>
    <w:p w:rsidR="00B71C34" w:rsidRDefault="00B71C34" w:rsidP="00B71C34">
      <w:pPr>
        <w:jc w:val="center"/>
        <w:rPr>
          <w:rFonts w:ascii="Arial Nova Cond Light" w:hAnsi="Arial Nova Cond Light"/>
          <w:b/>
          <w:sz w:val="32"/>
          <w:szCs w:val="32"/>
        </w:rPr>
      </w:pPr>
      <w:r w:rsidRPr="00B71C34">
        <w:rPr>
          <w:rFonts w:ascii="Arial Nova Cond Light" w:hAnsi="Arial Nova Cond Light"/>
          <w:b/>
          <w:sz w:val="32"/>
          <w:szCs w:val="32"/>
        </w:rPr>
        <w:t xml:space="preserve">Datový soubor pro kvantitativní výzkum </w:t>
      </w:r>
    </w:p>
    <w:p w:rsidR="00B71C34" w:rsidRPr="00B71C34" w:rsidRDefault="00B71C34" w:rsidP="00B71C34">
      <w:pPr>
        <w:jc w:val="center"/>
        <w:rPr>
          <w:rFonts w:ascii="Arial Nova Cond Light" w:hAnsi="Arial Nova Cond Light"/>
          <w:b/>
          <w:sz w:val="32"/>
          <w:szCs w:val="32"/>
        </w:rPr>
      </w:pPr>
      <w:r w:rsidRPr="00B71C34">
        <w:rPr>
          <w:rFonts w:ascii="Arial Nova Cond Light" w:hAnsi="Arial Nova Cond Light"/>
          <w:b/>
          <w:sz w:val="32"/>
          <w:szCs w:val="32"/>
        </w:rPr>
        <w:t>úpadkových a bezproblémových podniků</w:t>
      </w:r>
    </w:p>
    <w:p w:rsidR="0092584C" w:rsidRDefault="0092584C" w:rsidP="006E3011">
      <w:pPr>
        <w:rPr>
          <w:rFonts w:ascii="Arial Nova Cond Light" w:hAnsi="Arial Nova Cond Light"/>
          <w:b/>
          <w:sz w:val="24"/>
          <w:szCs w:val="24"/>
          <w:u w:val="single"/>
        </w:rPr>
      </w:pPr>
      <w:r>
        <w:rPr>
          <w:rFonts w:ascii="Arial Nova Cond Light" w:hAnsi="Arial Nova Cond Light"/>
          <w:b/>
          <w:sz w:val="24"/>
          <w:szCs w:val="24"/>
          <w:u w:val="single"/>
        </w:rPr>
        <w:br w:type="page"/>
      </w:r>
    </w:p>
    <w:p w:rsidR="00B00981" w:rsidRPr="008E6D75" w:rsidRDefault="0092584C">
      <w:pPr>
        <w:rPr>
          <w:rFonts w:ascii="Arial Nova Cond Light" w:hAnsi="Arial Nova Cond Light"/>
          <w:b/>
          <w:sz w:val="24"/>
          <w:szCs w:val="24"/>
          <w:u w:val="single"/>
        </w:rPr>
      </w:pPr>
      <w:r>
        <w:rPr>
          <w:rFonts w:ascii="Arial Nova Cond Light" w:hAnsi="Arial Nova Cond Light"/>
          <w:b/>
          <w:sz w:val="24"/>
          <w:szCs w:val="24"/>
          <w:u w:val="single"/>
        </w:rPr>
        <w:lastRenderedPageBreak/>
        <w:t>Datový soubor</w:t>
      </w:r>
      <w:r w:rsidR="0081301A" w:rsidRPr="008E6D75">
        <w:rPr>
          <w:rFonts w:ascii="Arial Nova Cond Light" w:hAnsi="Arial Nova Cond Light"/>
          <w:b/>
          <w:sz w:val="24"/>
          <w:szCs w:val="24"/>
          <w:u w:val="single"/>
        </w:rPr>
        <w:t xml:space="preserve"> podniků v úpadku a jejich protějšků (podniky bez problémů)</w:t>
      </w:r>
    </w:p>
    <w:p w:rsidR="001D36F5" w:rsidRDefault="0081301A" w:rsidP="0066209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Datový soubor byl získán z databáze </w:t>
      </w:r>
      <w:proofErr w:type="spellStart"/>
      <w:r>
        <w:rPr>
          <w:rFonts w:ascii="Arial Nova Cond Light" w:hAnsi="Arial Nova Cond Light"/>
          <w:sz w:val="24"/>
          <w:szCs w:val="24"/>
        </w:rPr>
        <w:t>Bisnode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 </w:t>
      </w:r>
      <w:proofErr w:type="spellStart"/>
      <w:r>
        <w:rPr>
          <w:rFonts w:ascii="Arial Nova Cond Light" w:hAnsi="Arial Nova Cond Light"/>
          <w:sz w:val="24"/>
          <w:szCs w:val="24"/>
        </w:rPr>
        <w:t>Magnusweb</w:t>
      </w:r>
      <w:proofErr w:type="spellEnd"/>
      <w:r>
        <w:rPr>
          <w:rFonts w:ascii="Arial Nova Cond Light" w:hAnsi="Arial Nova Cond Light"/>
          <w:sz w:val="24"/>
          <w:szCs w:val="24"/>
        </w:rPr>
        <w:t>. Při tvorbě datového souboru (vzorku podniků) byl použit stratifikovaný výběr, tedy do vzorku byly zařazeny všechny podniky,</w:t>
      </w:r>
      <w:r w:rsidR="00461BC6">
        <w:rPr>
          <w:rFonts w:ascii="Arial Nova Cond Light" w:hAnsi="Arial Nova Cond Light"/>
          <w:sz w:val="24"/>
          <w:szCs w:val="24"/>
        </w:rPr>
        <w:t xml:space="preserve"> u kterých byl zjištěn úpadek od roku 2009 (tedy zjištění úpadku bylo podle nového insolvenčního zákona), a</w:t>
      </w:r>
      <w:r>
        <w:rPr>
          <w:rFonts w:ascii="Arial Nova Cond Light" w:hAnsi="Arial Nova Cond Light"/>
          <w:sz w:val="24"/>
          <w:szCs w:val="24"/>
        </w:rPr>
        <w:t xml:space="preserve"> u kterých jsou dostupné údaje (finanční výkazy)</w:t>
      </w:r>
      <w:r w:rsidR="001D36F5">
        <w:rPr>
          <w:rFonts w:ascii="Arial Nova Cond Light" w:hAnsi="Arial Nova Cond Light"/>
          <w:sz w:val="24"/>
          <w:szCs w:val="24"/>
        </w:rPr>
        <w:t xml:space="preserve">, a za rok předcházející roku zjištění </w:t>
      </w:r>
      <w:r w:rsidR="001D36F5" w:rsidRPr="004A7EAF">
        <w:rPr>
          <w:rFonts w:ascii="Arial Nova Cond Light" w:hAnsi="Arial Nova Cond Light"/>
          <w:sz w:val="24"/>
          <w:szCs w:val="24"/>
        </w:rPr>
        <w:t>úpadku</w:t>
      </w:r>
      <w:r w:rsidRPr="004A7EAF">
        <w:rPr>
          <w:rFonts w:ascii="Arial Nova Cond Light" w:hAnsi="Arial Nova Cond Light"/>
          <w:sz w:val="24"/>
          <w:szCs w:val="24"/>
        </w:rPr>
        <w:t>.</w:t>
      </w:r>
      <w:r w:rsidR="0066209F" w:rsidRPr="004A7EAF">
        <w:rPr>
          <w:rFonts w:ascii="Arial Nova Cond Light" w:hAnsi="Arial Nova Cond Light"/>
          <w:sz w:val="24"/>
          <w:szCs w:val="24"/>
        </w:rPr>
        <w:t xml:space="preserve"> Zařazen byl podnik, u kterého </w:t>
      </w:r>
      <w:r w:rsidR="004A7EAF" w:rsidRPr="004A7EAF">
        <w:rPr>
          <w:rFonts w:ascii="Arial Nova Cond Light" w:hAnsi="Arial Nova Cond Light"/>
          <w:sz w:val="24"/>
          <w:szCs w:val="24"/>
        </w:rPr>
        <w:t xml:space="preserve">byla v databázi </w:t>
      </w:r>
      <w:proofErr w:type="spellStart"/>
      <w:r w:rsidR="004A7EAF">
        <w:rPr>
          <w:rFonts w:ascii="Arial Nova Cond Light" w:hAnsi="Arial Nova Cond Light"/>
          <w:sz w:val="24"/>
          <w:szCs w:val="24"/>
        </w:rPr>
        <w:t>Bisnode</w:t>
      </w:r>
      <w:proofErr w:type="spellEnd"/>
      <w:r w:rsidR="004A7EAF">
        <w:rPr>
          <w:rFonts w:ascii="Arial Nova Cond Light" w:hAnsi="Arial Nova Cond Light"/>
          <w:sz w:val="24"/>
          <w:szCs w:val="24"/>
        </w:rPr>
        <w:t xml:space="preserve"> </w:t>
      </w:r>
      <w:proofErr w:type="spellStart"/>
      <w:r w:rsidR="004A7EAF" w:rsidRPr="004A7EAF">
        <w:rPr>
          <w:rFonts w:ascii="Arial Nova Cond Light" w:hAnsi="Arial Nova Cond Light"/>
          <w:sz w:val="24"/>
          <w:szCs w:val="24"/>
        </w:rPr>
        <w:t>Magnusweb</w:t>
      </w:r>
      <w:proofErr w:type="spellEnd"/>
      <w:r w:rsidR="004A7EAF" w:rsidRPr="004A7EAF">
        <w:rPr>
          <w:rFonts w:ascii="Arial Nova Cond Light" w:hAnsi="Arial Nova Cond Light"/>
          <w:sz w:val="24"/>
          <w:szCs w:val="24"/>
        </w:rPr>
        <w:t xml:space="preserve"> charakteristika „v úpadku“</w:t>
      </w:r>
      <w:r w:rsidR="0066209F" w:rsidRPr="004A7EAF">
        <w:rPr>
          <w:rFonts w:ascii="Arial Nova Cond Light" w:hAnsi="Arial Nova Cond Light"/>
          <w:sz w:val="24"/>
          <w:szCs w:val="24"/>
        </w:rPr>
        <w:t>.</w:t>
      </w:r>
      <w:r w:rsidRPr="004A7EAF">
        <w:rPr>
          <w:rFonts w:ascii="Arial Nova Cond Light" w:hAnsi="Arial Nova Cond Light"/>
          <w:sz w:val="24"/>
          <w:szCs w:val="24"/>
        </w:rPr>
        <w:t xml:space="preserve"> Dále byl do datového soboru zařazen stejný počet</w:t>
      </w:r>
      <w:r>
        <w:rPr>
          <w:rFonts w:ascii="Arial Nova Cond Light" w:hAnsi="Arial Nova Cond Light"/>
          <w:sz w:val="24"/>
          <w:szCs w:val="24"/>
        </w:rPr>
        <w:t xml:space="preserve"> bezproblémových podniků</w:t>
      </w:r>
      <w:r w:rsidR="001D36F5">
        <w:rPr>
          <w:rFonts w:ascii="Arial Nova Cond Light" w:hAnsi="Arial Nova Cond Light"/>
          <w:sz w:val="24"/>
          <w:szCs w:val="24"/>
        </w:rPr>
        <w:t xml:space="preserve"> na základě shodného kritéria, tedy podniků, u kterých jsou dostupná data za stejný rok. Dále byla ze stejného zdroje získána data (finanční výkazy) za dva a tři roky předcházející roku zjištění úpadku. </w:t>
      </w:r>
      <w:r w:rsidR="0066209F">
        <w:rPr>
          <w:rFonts w:ascii="Arial Nova Cond Light" w:hAnsi="Arial Nova Cond Light"/>
          <w:sz w:val="24"/>
          <w:szCs w:val="24"/>
        </w:rPr>
        <w:t>Bylo přitom použito párování vzorků (</w:t>
      </w:r>
      <w:proofErr w:type="spellStart"/>
      <w:r w:rsidR="0066209F">
        <w:rPr>
          <w:rFonts w:ascii="Arial Nova Cond Light" w:hAnsi="Arial Nova Cond Light"/>
          <w:sz w:val="24"/>
          <w:szCs w:val="24"/>
        </w:rPr>
        <w:t>matching</w:t>
      </w:r>
      <w:proofErr w:type="spellEnd"/>
      <w:r w:rsidR="0066209F">
        <w:rPr>
          <w:rFonts w:ascii="Arial Nova Cond Light" w:hAnsi="Arial Nova Cond Light"/>
          <w:sz w:val="24"/>
          <w:szCs w:val="24"/>
        </w:rPr>
        <w:t xml:space="preserve"> </w:t>
      </w:r>
      <w:proofErr w:type="spellStart"/>
      <w:r w:rsidR="0066209F">
        <w:rPr>
          <w:rFonts w:ascii="Arial Nova Cond Light" w:hAnsi="Arial Nova Cond Light"/>
          <w:sz w:val="24"/>
          <w:szCs w:val="24"/>
        </w:rPr>
        <w:t>pairs</w:t>
      </w:r>
      <w:proofErr w:type="spellEnd"/>
      <w:r w:rsidR="0066209F">
        <w:rPr>
          <w:rFonts w:ascii="Arial Nova Cond Light" w:hAnsi="Arial Nova Cond Light"/>
          <w:sz w:val="24"/>
          <w:szCs w:val="24"/>
        </w:rPr>
        <w:t xml:space="preserve">), kdy jako kritérium při výběru bezproblémových podniků byla použita velikost podniku dle obratu a obor podnikání dle NACE. </w:t>
      </w:r>
      <w:r w:rsidR="001D36F5">
        <w:rPr>
          <w:rFonts w:ascii="Arial Nova Cond Light" w:hAnsi="Arial Nova Cond Light"/>
          <w:sz w:val="24"/>
          <w:szCs w:val="24"/>
        </w:rPr>
        <w:t xml:space="preserve">Důraz byl přitom kladen na to, aby byl shodný počet podniků, resp. finančních výkazů za </w:t>
      </w:r>
      <w:r w:rsidR="0034292F">
        <w:rPr>
          <w:rFonts w:ascii="Arial Nova Cond Light" w:hAnsi="Arial Nova Cond Light"/>
          <w:sz w:val="24"/>
          <w:szCs w:val="24"/>
        </w:rPr>
        <w:t xml:space="preserve">1. </w:t>
      </w:r>
      <w:r w:rsidR="001D36F5">
        <w:rPr>
          <w:rFonts w:ascii="Arial Nova Cond Light" w:hAnsi="Arial Nova Cond Light"/>
          <w:sz w:val="24"/>
          <w:szCs w:val="24"/>
        </w:rPr>
        <w:t>rok před zjištěním úpadku.</w:t>
      </w:r>
    </w:p>
    <w:p w:rsidR="0081301A" w:rsidRDefault="0081301A" w:rsidP="00E97245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Postup tvorby datového souboru byl následující:</w:t>
      </w:r>
    </w:p>
    <w:p w:rsidR="0081301A" w:rsidRDefault="0081301A" w:rsidP="00E97245">
      <w:pPr>
        <w:pStyle w:val="Odstavecseseznamem"/>
        <w:numPr>
          <w:ilvl w:val="0"/>
          <w:numId w:val="1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Získaní dat o podnicích, u kterých byl zjištěni úpadek</w:t>
      </w:r>
      <w:r w:rsidR="0066209F">
        <w:rPr>
          <w:rFonts w:ascii="Arial Nova Cond Light" w:hAnsi="Arial Nova Cond Light"/>
          <w:sz w:val="24"/>
          <w:szCs w:val="24"/>
        </w:rPr>
        <w:t xml:space="preserve"> a u kterých </w:t>
      </w:r>
      <w:r w:rsidR="00745C20">
        <w:rPr>
          <w:rFonts w:ascii="Arial Nova Cond Light" w:hAnsi="Arial Nova Cond Light"/>
          <w:sz w:val="24"/>
          <w:szCs w:val="24"/>
        </w:rPr>
        <w:t>jsou</w:t>
      </w:r>
      <w:r w:rsidR="0066209F">
        <w:rPr>
          <w:rFonts w:ascii="Arial Nova Cond Light" w:hAnsi="Arial Nova Cond Light"/>
          <w:sz w:val="24"/>
          <w:szCs w:val="24"/>
        </w:rPr>
        <w:t xml:space="preserve"> dostupné finanční výkazy za rok před jeho zjištěním</w:t>
      </w:r>
    </w:p>
    <w:p w:rsidR="00676E5E" w:rsidRDefault="0030752E" w:rsidP="00E97245">
      <w:pPr>
        <w:pStyle w:val="Odstavecseseznamem"/>
        <w:numPr>
          <w:ilvl w:val="0"/>
          <w:numId w:val="1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Získání dat o stejném počtu bezproblémových podniků, a to náhodným výběrem z celkového počtu bezproblémových podniků odpovídajícího obratu a oboru podnikání</w:t>
      </w:r>
    </w:p>
    <w:p w:rsidR="0030752E" w:rsidRDefault="0030752E" w:rsidP="00E97245">
      <w:pPr>
        <w:pStyle w:val="Odstavecseseznamem"/>
        <w:numPr>
          <w:ilvl w:val="0"/>
          <w:numId w:val="1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Kontrola dostupných finančních údajů u bezproblémových podniků a „náhrada“ náhodným výběrem získaných podniků tam, kde se ukázala nedostatečnost finančních údajů za jiný podnik odpovídající kritériím </w:t>
      </w:r>
      <w:proofErr w:type="spellStart"/>
      <w:r>
        <w:rPr>
          <w:rFonts w:ascii="Arial Nova Cond Light" w:hAnsi="Arial Nova Cond Light"/>
          <w:sz w:val="24"/>
          <w:szCs w:val="24"/>
        </w:rPr>
        <w:t>matching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 </w:t>
      </w:r>
      <w:proofErr w:type="spellStart"/>
      <w:r>
        <w:rPr>
          <w:rFonts w:ascii="Arial Nova Cond Light" w:hAnsi="Arial Nova Cond Light"/>
          <w:sz w:val="24"/>
          <w:szCs w:val="24"/>
        </w:rPr>
        <w:t>pairs</w:t>
      </w:r>
      <w:proofErr w:type="spellEnd"/>
      <w:r>
        <w:rPr>
          <w:rFonts w:ascii="Arial Nova Cond Light" w:hAnsi="Arial Nova Cond Light"/>
          <w:sz w:val="24"/>
          <w:szCs w:val="24"/>
        </w:rPr>
        <w:t>.</w:t>
      </w:r>
    </w:p>
    <w:p w:rsidR="0030752E" w:rsidRDefault="0030752E" w:rsidP="00E97245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Tímto postupem byl získán datový soubor</w:t>
      </w:r>
      <w:r w:rsidR="00F67C43">
        <w:rPr>
          <w:rFonts w:ascii="Arial Nova Cond Light" w:hAnsi="Arial Nova Cond Light"/>
          <w:sz w:val="24"/>
          <w:szCs w:val="24"/>
        </w:rPr>
        <w:t xml:space="preserve"> obsahující 1 654 podniků (z toho 827 podniků v úpadku a 827 bezproblémových podniků)</w:t>
      </w:r>
      <w:r>
        <w:rPr>
          <w:rFonts w:ascii="Arial Nova Cond Light" w:hAnsi="Arial Nova Cond Light"/>
          <w:sz w:val="24"/>
          <w:szCs w:val="24"/>
        </w:rPr>
        <w:t xml:space="preserve"> s</w:t>
      </w:r>
      <w:r w:rsidR="00F53B6D">
        <w:rPr>
          <w:rFonts w:ascii="Arial Nova Cond Light" w:hAnsi="Arial Nova Cond Light"/>
          <w:sz w:val="24"/>
          <w:szCs w:val="24"/>
        </w:rPr>
        <w:t> </w:t>
      </w:r>
      <w:r>
        <w:rPr>
          <w:rFonts w:ascii="Arial Nova Cond Light" w:hAnsi="Arial Nova Cond Light"/>
          <w:sz w:val="24"/>
          <w:szCs w:val="24"/>
        </w:rPr>
        <w:t>následujícími</w:t>
      </w:r>
      <w:r w:rsidR="00F53B6D">
        <w:rPr>
          <w:rFonts w:ascii="Arial Nova Cond Light" w:hAnsi="Arial Nova Cond Light"/>
          <w:sz w:val="24"/>
          <w:szCs w:val="24"/>
        </w:rPr>
        <w:t xml:space="preserve"> souhrnnými</w:t>
      </w:r>
      <w:r>
        <w:rPr>
          <w:rFonts w:ascii="Arial Nova Cond Light" w:hAnsi="Arial Nova Cond Light"/>
          <w:sz w:val="24"/>
          <w:szCs w:val="24"/>
        </w:rPr>
        <w:t xml:space="preserve"> charakteristikami.</w:t>
      </w: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14"/>
        <w:gridCol w:w="1790"/>
        <w:gridCol w:w="1612"/>
      </w:tblGrid>
      <w:tr w:rsidR="0030752E" w:rsidRPr="0030752E" w:rsidTr="00230208">
        <w:trPr>
          <w:trHeight w:val="269"/>
        </w:trPr>
        <w:tc>
          <w:tcPr>
            <w:tcW w:w="3109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Dostupné údaje</w:t>
            </w:r>
          </w:p>
        </w:tc>
        <w:tc>
          <w:tcPr>
            <w:tcW w:w="2614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Bezproblémové podniky</w:t>
            </w:r>
          </w:p>
        </w:tc>
        <w:tc>
          <w:tcPr>
            <w:tcW w:w="1790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Úpadkové podniky</w:t>
            </w:r>
          </w:p>
        </w:tc>
        <w:tc>
          <w:tcPr>
            <w:tcW w:w="1612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Celkový součet</w:t>
            </w:r>
          </w:p>
        </w:tc>
      </w:tr>
      <w:tr w:rsidR="0030752E" w:rsidRPr="00F23746" w:rsidTr="00F23746">
        <w:trPr>
          <w:trHeight w:val="269"/>
        </w:trPr>
        <w:tc>
          <w:tcPr>
            <w:tcW w:w="310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30752E" w:rsidRPr="00F23746" w:rsidRDefault="0030752E" w:rsidP="0030752E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</w:pPr>
            <w:r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>1 rok před úpadkem</w:t>
            </w:r>
          </w:p>
        </w:tc>
        <w:tc>
          <w:tcPr>
            <w:tcW w:w="26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30752E" w:rsidRPr="00F23746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</w:pPr>
            <w:r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>827</w:t>
            </w:r>
          </w:p>
        </w:tc>
        <w:tc>
          <w:tcPr>
            <w:tcW w:w="1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30752E" w:rsidRPr="00F23746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</w:pPr>
            <w:r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>827</w:t>
            </w:r>
          </w:p>
        </w:tc>
        <w:tc>
          <w:tcPr>
            <w:tcW w:w="16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30752E" w:rsidRPr="00F23746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</w:pPr>
            <w:r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>1</w:t>
            </w:r>
            <w:r w:rsidR="00E97245"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 xml:space="preserve"> </w:t>
            </w:r>
            <w:r w:rsidRPr="00F23746">
              <w:rPr>
                <w:rFonts w:ascii="Arial Nova Cond Light" w:eastAsia="Times New Roman" w:hAnsi="Arial Nova Cond Light" w:cs="Calibri"/>
                <w:b/>
                <w:color w:val="000000"/>
                <w:lang w:eastAsia="cs-CZ"/>
              </w:rPr>
              <w:t>654</w:t>
            </w:r>
          </w:p>
        </w:tc>
      </w:tr>
      <w:tr w:rsidR="0030752E" w:rsidRPr="0030752E" w:rsidTr="00230208">
        <w:trPr>
          <w:trHeight w:val="269"/>
        </w:trPr>
        <w:tc>
          <w:tcPr>
            <w:tcW w:w="310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</w:t>
            </w:r>
            <w:r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 xml:space="preserve"> roky před úpadkem</w:t>
            </w:r>
          </w:p>
        </w:tc>
        <w:tc>
          <w:tcPr>
            <w:tcW w:w="26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802</w:t>
            </w:r>
          </w:p>
        </w:tc>
        <w:tc>
          <w:tcPr>
            <w:tcW w:w="1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759</w:t>
            </w:r>
          </w:p>
        </w:tc>
        <w:tc>
          <w:tcPr>
            <w:tcW w:w="16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</w:t>
            </w:r>
            <w:r w:rsidR="00E97245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 xml:space="preserve"> </w:t>
            </w: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561</w:t>
            </w:r>
          </w:p>
        </w:tc>
      </w:tr>
      <w:tr w:rsidR="0030752E" w:rsidRPr="0030752E" w:rsidTr="00230208">
        <w:trPr>
          <w:trHeight w:val="269"/>
        </w:trPr>
        <w:tc>
          <w:tcPr>
            <w:tcW w:w="310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</w:t>
            </w:r>
            <w:r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 xml:space="preserve"> roky před úpadkem</w:t>
            </w:r>
          </w:p>
        </w:tc>
        <w:tc>
          <w:tcPr>
            <w:tcW w:w="26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682</w:t>
            </w:r>
          </w:p>
        </w:tc>
        <w:tc>
          <w:tcPr>
            <w:tcW w:w="1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696</w:t>
            </w:r>
          </w:p>
        </w:tc>
        <w:tc>
          <w:tcPr>
            <w:tcW w:w="16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</w:t>
            </w:r>
            <w:r w:rsidR="00E97245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 xml:space="preserve"> </w:t>
            </w:r>
            <w:r w:rsidRPr="0030752E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378</w:t>
            </w:r>
          </w:p>
        </w:tc>
      </w:tr>
      <w:tr w:rsidR="00E97245" w:rsidRPr="0030752E" w:rsidTr="00230208">
        <w:trPr>
          <w:trHeight w:val="269"/>
        </w:trPr>
        <w:tc>
          <w:tcPr>
            <w:tcW w:w="31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6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</w:t>
            </w:r>
            <w:r w:rsidR="00E97245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179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</w:t>
            </w:r>
            <w:r w:rsidR="00E97245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282</w:t>
            </w:r>
          </w:p>
        </w:tc>
        <w:tc>
          <w:tcPr>
            <w:tcW w:w="161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0752E" w:rsidRPr="0030752E" w:rsidRDefault="0030752E" w:rsidP="0030752E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4</w:t>
            </w:r>
            <w:r w:rsidR="00E97245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0752E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593</w:t>
            </w:r>
          </w:p>
        </w:tc>
      </w:tr>
    </w:tbl>
    <w:p w:rsidR="0030752E" w:rsidRDefault="0030752E" w:rsidP="0030752E">
      <w:pPr>
        <w:rPr>
          <w:rFonts w:ascii="Arial Nova Cond Light" w:hAnsi="Arial Nova Cond Light"/>
          <w:sz w:val="24"/>
          <w:szCs w:val="24"/>
        </w:rPr>
      </w:pPr>
    </w:p>
    <w:p w:rsidR="00F53B6D" w:rsidRPr="0030752E" w:rsidRDefault="00F53B6D" w:rsidP="0030752E">
      <w:pPr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Struktura datového souboru dle rozložení roku zjištění úpadku a relevantních dat jeden rok před jeho zjištěním je pak následující: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2294"/>
        <w:gridCol w:w="1932"/>
        <w:gridCol w:w="1638"/>
      </w:tblGrid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Rok zjištění úpadku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Bezproblémové podniky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Úpadkové podniky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2009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138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2010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62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62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124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2011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93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93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186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2012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130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130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260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2013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120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120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240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2014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160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2015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105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105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210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2016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88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88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176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2017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48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48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96</w:t>
            </w:r>
          </w:p>
        </w:tc>
      </w:tr>
      <w:tr w:rsidR="00230208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2018</w:t>
            </w:r>
          </w:p>
        </w:tc>
        <w:tc>
          <w:tcPr>
            <w:tcW w:w="22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32</w:t>
            </w:r>
          </w:p>
        </w:tc>
        <w:tc>
          <w:tcPr>
            <w:tcW w:w="1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32</w:t>
            </w:r>
          </w:p>
        </w:tc>
        <w:tc>
          <w:tcPr>
            <w:tcW w:w="16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64</w:t>
            </w:r>
          </w:p>
        </w:tc>
      </w:tr>
      <w:tr w:rsidR="00F53B6D" w:rsidRPr="00F53B6D" w:rsidTr="00230208">
        <w:trPr>
          <w:trHeight w:val="261"/>
        </w:trPr>
        <w:tc>
          <w:tcPr>
            <w:tcW w:w="32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2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827</w:t>
            </w:r>
          </w:p>
        </w:tc>
        <w:tc>
          <w:tcPr>
            <w:tcW w:w="19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827</w:t>
            </w: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F53B6D" w:rsidRPr="00F53B6D" w:rsidRDefault="00F53B6D" w:rsidP="00F53B6D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F53B6D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F53B6D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654</w:t>
            </w:r>
          </w:p>
        </w:tc>
      </w:tr>
    </w:tbl>
    <w:p w:rsidR="0034292F" w:rsidRDefault="0034292F" w:rsidP="004844CF">
      <w:pPr>
        <w:jc w:val="both"/>
        <w:rPr>
          <w:rFonts w:ascii="Arial Nova Cond Light" w:hAnsi="Arial Nova Cond Light"/>
          <w:sz w:val="24"/>
          <w:szCs w:val="24"/>
        </w:rPr>
      </w:pPr>
    </w:p>
    <w:p w:rsidR="0081301A" w:rsidRDefault="003418A4" w:rsidP="004844C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lastRenderedPageBreak/>
        <w:t>Datový soubor má pak následující charakteristiky z hlediska roku zjištění úpadku a dostupných údajů jeden, dva a tři roky před jeho zjištěním</w:t>
      </w:r>
    </w:p>
    <w:tbl>
      <w:tblPr>
        <w:tblW w:w="9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2435"/>
        <w:gridCol w:w="1918"/>
        <w:gridCol w:w="1312"/>
      </w:tblGrid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Rok zjištění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Bezproblémové podniky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Podniky v úpadku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Celkem</w:t>
            </w:r>
          </w:p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183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365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64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123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104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171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350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62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62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124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61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57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56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52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262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245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507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93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93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186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89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168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73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153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354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363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717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130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260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237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106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220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328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335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663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120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240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114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224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101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199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210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217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427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80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160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69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73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142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61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125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267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291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558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105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105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210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85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97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182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77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166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257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254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511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88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176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85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87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172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84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79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163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321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48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96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93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45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138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46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41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87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84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174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1. rok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32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32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64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28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57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ind w:firstLineChars="100" w:firstLine="220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3. roky před zjištěním úpadku</w:t>
            </w:r>
          </w:p>
        </w:tc>
        <w:tc>
          <w:tcPr>
            <w:tcW w:w="24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24</w:t>
            </w:r>
          </w:p>
        </w:tc>
        <w:tc>
          <w:tcPr>
            <w:tcW w:w="19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29</w:t>
            </w:r>
          </w:p>
        </w:tc>
        <w:tc>
          <w:tcPr>
            <w:tcW w:w="131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color w:val="000000"/>
                <w:lang w:eastAsia="cs-CZ"/>
              </w:rPr>
              <w:t>53</w:t>
            </w:r>
          </w:p>
        </w:tc>
      </w:tr>
      <w:tr w:rsidR="003418A4" w:rsidRPr="003418A4" w:rsidTr="004844CF">
        <w:trPr>
          <w:trHeight w:val="278"/>
        </w:trPr>
        <w:tc>
          <w:tcPr>
            <w:tcW w:w="35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4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19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282</w:t>
            </w:r>
          </w:p>
        </w:tc>
        <w:tc>
          <w:tcPr>
            <w:tcW w:w="131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right"/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</w:pP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4</w:t>
            </w:r>
            <w:r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 xml:space="preserve"> </w:t>
            </w:r>
            <w:r w:rsidRPr="003418A4">
              <w:rPr>
                <w:rFonts w:ascii="Arial Nova Cond Light" w:eastAsia="Times New Roman" w:hAnsi="Arial Nova Cond Light" w:cs="Calibri"/>
                <w:b/>
                <w:bCs/>
                <w:color w:val="000000"/>
                <w:lang w:eastAsia="cs-CZ"/>
              </w:rPr>
              <w:t>593</w:t>
            </w:r>
          </w:p>
        </w:tc>
      </w:tr>
    </w:tbl>
    <w:p w:rsidR="00195135" w:rsidRDefault="00195135" w:rsidP="00DC1D4B">
      <w:pPr>
        <w:jc w:val="both"/>
        <w:rPr>
          <w:rFonts w:ascii="Arial Nova Cond Light" w:hAnsi="Arial Nova Cond Light"/>
          <w:sz w:val="24"/>
          <w:szCs w:val="24"/>
        </w:rPr>
      </w:pPr>
    </w:p>
    <w:p w:rsidR="003418A4" w:rsidRDefault="003418A4" w:rsidP="00DC1D4B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lastRenderedPageBreak/>
        <w:t xml:space="preserve">Celkově je tak do souboru zařazeno 4 593 </w:t>
      </w:r>
      <w:r w:rsidR="00DC1D4B">
        <w:rPr>
          <w:rFonts w:ascii="Arial Nova Cond Light" w:hAnsi="Arial Nova Cond Light"/>
          <w:sz w:val="24"/>
          <w:szCs w:val="24"/>
        </w:rPr>
        <w:t>finančních výkazů podniků, z toho 2 311 finančních výkazů bezproblémových podniků a 2 282 finančních výkazů podniků, u kterých byl v uvedeném období zjištěn úpadek</w:t>
      </w:r>
      <w:r>
        <w:rPr>
          <w:rFonts w:ascii="Arial Nova Cond Light" w:hAnsi="Arial Nova Cond Light"/>
          <w:sz w:val="24"/>
          <w:szCs w:val="24"/>
        </w:rPr>
        <w:t>.</w:t>
      </w:r>
    </w:p>
    <w:p w:rsidR="00230208" w:rsidRPr="00B161D2" w:rsidRDefault="00B161D2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  <w:r w:rsidRPr="00B161D2">
        <w:rPr>
          <w:rFonts w:ascii="Arial Nova Cond Light" w:hAnsi="Arial Nova Cond Light"/>
          <w:sz w:val="24"/>
          <w:szCs w:val="24"/>
          <w:u w:val="single"/>
        </w:rPr>
        <w:t>Metodika náhodného výběru bezproblémových podniků</w:t>
      </w:r>
    </w:p>
    <w:p w:rsidR="00B161D2" w:rsidRDefault="00B161D2" w:rsidP="00DC1D4B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 celkového souboru bezproblémových podniků získaného pro jednotlivé roky odpovídající roku zjištění úpadku u vzorku úpadkových podniků byl náhodný výběr proveden v systému Excel, a to tak, že každému podniku zařazenému do příslušné skupiny dle velikosti obratu a oboru podnikání bylo přiděleno náhodné číslo, kterému pak bylo v rámci skupiny přiděleno pořadí. Zařazeny byly podniky, u kterých pořadí dle náhodného čísla bylo menší nebo rovné počtu podniků, které odpovídaly shodným kritériím (velikost a obor podnikání) ve vzorku úpadkových podniků. Pokud se však po prvním kole náhodného výběru ukázalo, že ve vzorku bezproblémových podniků se nacházejí podniky, u kterých nejsou dostupná relevantní data, byl takový podnik obdobím způsobem ve druhém kole nahrazen.</w:t>
      </w:r>
    </w:p>
    <w:p w:rsidR="00175718" w:rsidRPr="00175718" w:rsidRDefault="00175718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  <w:r w:rsidRPr="00175718">
        <w:rPr>
          <w:rFonts w:ascii="Arial Nova Cond Light" w:hAnsi="Arial Nova Cond Light"/>
          <w:sz w:val="24"/>
          <w:szCs w:val="24"/>
          <w:u w:val="single"/>
        </w:rPr>
        <w:t>Relevantní proměnné</w:t>
      </w:r>
    </w:p>
    <w:p w:rsidR="00175718" w:rsidRDefault="00175718" w:rsidP="00DC1D4B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U takto vytvořeného datového soboru pak byly stanoveny </w:t>
      </w:r>
      <w:r w:rsidR="00700F34">
        <w:rPr>
          <w:rFonts w:ascii="Arial Nova Cond Light" w:hAnsi="Arial Nova Cond Light"/>
          <w:sz w:val="24"/>
          <w:szCs w:val="24"/>
        </w:rPr>
        <w:t xml:space="preserve">relevantní </w:t>
      </w:r>
      <w:r>
        <w:rPr>
          <w:rFonts w:ascii="Arial Nova Cond Light" w:hAnsi="Arial Nova Cond Light"/>
          <w:sz w:val="24"/>
          <w:szCs w:val="24"/>
        </w:rPr>
        <w:t>proměnné za účelem zjištění finančních charakteristik bezproblémových a úpadkových podniků a vytvoření skóringového modelu</w:t>
      </w:r>
      <w:r w:rsidR="008627BC">
        <w:rPr>
          <w:rFonts w:ascii="Arial Nova Cond Light" w:hAnsi="Arial Nova Cond Light"/>
          <w:sz w:val="24"/>
          <w:szCs w:val="24"/>
        </w:rPr>
        <w:t xml:space="preserve">, který bude zařazovat podniky </w:t>
      </w:r>
      <w:r w:rsidR="00700F34">
        <w:rPr>
          <w:rFonts w:ascii="Arial Nova Cond Light" w:hAnsi="Arial Nova Cond Light"/>
          <w:sz w:val="24"/>
          <w:szCs w:val="24"/>
        </w:rPr>
        <w:t xml:space="preserve">primárně </w:t>
      </w:r>
      <w:r w:rsidR="008627BC">
        <w:rPr>
          <w:rFonts w:ascii="Arial Nova Cond Light" w:hAnsi="Arial Nova Cond Light"/>
          <w:sz w:val="24"/>
          <w:szCs w:val="24"/>
        </w:rPr>
        <w:t>do dvou základních skupin, a to do skupiny s pravděpodobností, že směřují k úpadku a do skupiny s pravděpodobností, že k úpadku nesměřují</w:t>
      </w:r>
      <w:r w:rsidR="00700F34">
        <w:rPr>
          <w:rFonts w:ascii="Arial Nova Cond Light" w:hAnsi="Arial Nova Cond Light"/>
          <w:sz w:val="24"/>
          <w:szCs w:val="24"/>
        </w:rPr>
        <w:t xml:space="preserve"> (když takto zjištěné zařazení může být dále „rozmělněno“ např. tak, že model s převažující pravděpodobností zařazuje podnik do jedné ze základní skupin, či zda zjištěná pravděpodobnost je hraniční)</w:t>
      </w:r>
      <w:r w:rsidR="008627BC">
        <w:rPr>
          <w:rFonts w:ascii="Arial Nova Cond Light" w:hAnsi="Arial Nova Cond Light"/>
          <w:sz w:val="24"/>
          <w:szCs w:val="24"/>
        </w:rPr>
        <w:t>. To pak bude představovat systém včasného varování, který bude na základě finančních charakteristik detekovat pravděpodobnost, že příslušný podnik směřuje k</w:t>
      </w:r>
      <w:r w:rsidR="00700F34">
        <w:rPr>
          <w:rFonts w:ascii="Arial Nova Cond Light" w:hAnsi="Arial Nova Cond Light"/>
          <w:sz w:val="24"/>
          <w:szCs w:val="24"/>
        </w:rPr>
        <w:t> </w:t>
      </w:r>
      <w:r w:rsidR="008627BC">
        <w:rPr>
          <w:rFonts w:ascii="Arial Nova Cond Light" w:hAnsi="Arial Nova Cond Light"/>
          <w:sz w:val="24"/>
          <w:szCs w:val="24"/>
        </w:rPr>
        <w:t>úpadku</w:t>
      </w:r>
      <w:r w:rsidR="00700F34">
        <w:rPr>
          <w:rFonts w:ascii="Arial Nova Cond Light" w:hAnsi="Arial Nova Cond Light"/>
          <w:sz w:val="24"/>
          <w:szCs w:val="24"/>
        </w:rPr>
        <w:t>, resp. s převažující pravděpodobností směřuje k úpadku</w:t>
      </w:r>
      <w:r w:rsidR="008627BC">
        <w:rPr>
          <w:rFonts w:ascii="Arial Nova Cond Light" w:hAnsi="Arial Nova Cond Light"/>
          <w:sz w:val="24"/>
          <w:szCs w:val="24"/>
        </w:rPr>
        <w:t>.</w:t>
      </w:r>
      <w:r w:rsidR="0034292F">
        <w:rPr>
          <w:rFonts w:ascii="Arial Nova Cond Light" w:hAnsi="Arial Nova Cond Light"/>
          <w:sz w:val="24"/>
          <w:szCs w:val="24"/>
        </w:rPr>
        <w:t xml:space="preserve"> Zejména vzhledem k tomu, že nezávislá proměnná je dichotomická, bude pro stanovení skóringového modelu preferována logistická regrese.</w:t>
      </w:r>
    </w:p>
    <w:p w:rsidR="00C47748" w:rsidRDefault="00C47748" w:rsidP="00DC1D4B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Základní </w:t>
      </w:r>
      <w:r w:rsidR="0018195A">
        <w:rPr>
          <w:rFonts w:ascii="Arial Nova Cond Light" w:hAnsi="Arial Nova Cond Light"/>
          <w:sz w:val="24"/>
          <w:szCs w:val="24"/>
        </w:rPr>
        <w:t xml:space="preserve">skupiny </w:t>
      </w:r>
      <w:r>
        <w:rPr>
          <w:rFonts w:ascii="Arial Nova Cond Light" w:hAnsi="Arial Nova Cond Light"/>
          <w:sz w:val="24"/>
          <w:szCs w:val="24"/>
        </w:rPr>
        <w:t>relevantní</w:t>
      </w:r>
      <w:r w:rsidR="0018195A">
        <w:rPr>
          <w:rFonts w:ascii="Arial Nova Cond Light" w:hAnsi="Arial Nova Cond Light"/>
          <w:sz w:val="24"/>
          <w:szCs w:val="24"/>
        </w:rPr>
        <w:t>ch</w:t>
      </w:r>
      <w:r>
        <w:rPr>
          <w:rFonts w:ascii="Arial Nova Cond Light" w:hAnsi="Arial Nova Cond Light"/>
          <w:sz w:val="24"/>
          <w:szCs w:val="24"/>
        </w:rPr>
        <w:t xml:space="preserve"> proměnn</w:t>
      </w:r>
      <w:r w:rsidR="0018195A">
        <w:rPr>
          <w:rFonts w:ascii="Arial Nova Cond Light" w:hAnsi="Arial Nova Cond Light"/>
          <w:sz w:val="24"/>
          <w:szCs w:val="24"/>
        </w:rPr>
        <w:t>ých</w:t>
      </w:r>
      <w:r>
        <w:rPr>
          <w:rFonts w:ascii="Arial Nova Cond Light" w:hAnsi="Arial Nova Cond Light"/>
          <w:sz w:val="24"/>
          <w:szCs w:val="24"/>
        </w:rPr>
        <w:t xml:space="preserve"> pro výše uvedený účel představují následující charakteristiky: </w:t>
      </w:r>
    </w:p>
    <w:p w:rsidR="00C47748" w:rsidRPr="00C47748" w:rsidRDefault="00C47748" w:rsidP="00C47748">
      <w:pPr>
        <w:pStyle w:val="Odstavecseseznamem"/>
        <w:numPr>
          <w:ilvl w:val="0"/>
          <w:numId w:val="2"/>
        </w:numPr>
        <w:jc w:val="both"/>
        <w:rPr>
          <w:rFonts w:ascii="Arial Nova Cond Light" w:hAnsi="Arial Nova Cond Light"/>
          <w:sz w:val="24"/>
          <w:szCs w:val="24"/>
        </w:rPr>
      </w:pPr>
      <w:r w:rsidRPr="00C47748">
        <w:rPr>
          <w:rFonts w:ascii="Arial Nova Cond Light" w:hAnsi="Arial Nova Cond Light"/>
          <w:sz w:val="24"/>
          <w:szCs w:val="24"/>
        </w:rPr>
        <w:t>provozní výkonnost (dosahované marže</w:t>
      </w:r>
      <w:r w:rsidR="00B30527">
        <w:rPr>
          <w:rFonts w:ascii="Arial Nova Cond Light" w:hAnsi="Arial Nova Cond Light"/>
          <w:sz w:val="24"/>
          <w:szCs w:val="24"/>
        </w:rPr>
        <w:t xml:space="preserve"> a nákladovost</w:t>
      </w:r>
      <w:r w:rsidRPr="00C47748">
        <w:rPr>
          <w:rFonts w:ascii="Arial Nova Cond Light" w:hAnsi="Arial Nova Cond Light"/>
          <w:sz w:val="24"/>
          <w:szCs w:val="24"/>
        </w:rPr>
        <w:t>)</w:t>
      </w:r>
    </w:p>
    <w:p w:rsidR="00C47748" w:rsidRPr="00C47748" w:rsidRDefault="00C47748" w:rsidP="00C47748">
      <w:pPr>
        <w:pStyle w:val="Odstavecseseznamem"/>
        <w:numPr>
          <w:ilvl w:val="0"/>
          <w:numId w:val="2"/>
        </w:numPr>
        <w:jc w:val="both"/>
        <w:rPr>
          <w:rFonts w:ascii="Arial Nova Cond Light" w:hAnsi="Arial Nova Cond Light"/>
          <w:sz w:val="24"/>
          <w:szCs w:val="24"/>
        </w:rPr>
      </w:pPr>
      <w:r w:rsidRPr="00C47748">
        <w:rPr>
          <w:rFonts w:ascii="Arial Nova Cond Light" w:hAnsi="Arial Nova Cond Light"/>
          <w:sz w:val="24"/>
          <w:szCs w:val="24"/>
        </w:rPr>
        <w:t>likvidita a platební schopnost</w:t>
      </w:r>
      <w:r w:rsidR="00B30527">
        <w:rPr>
          <w:rFonts w:ascii="Arial Nova Cond Light" w:hAnsi="Arial Nova Cond Light"/>
          <w:sz w:val="24"/>
          <w:szCs w:val="24"/>
        </w:rPr>
        <w:t xml:space="preserve"> (nutná hotovost a pracovní kapitál)</w:t>
      </w:r>
    </w:p>
    <w:p w:rsidR="00C47748" w:rsidRDefault="00B30527" w:rsidP="00C47748">
      <w:pPr>
        <w:pStyle w:val="Odstavecseseznamem"/>
        <w:numPr>
          <w:ilvl w:val="0"/>
          <w:numId w:val="2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finanční stabilita a rentabilita</w:t>
      </w:r>
    </w:p>
    <w:p w:rsidR="00C47748" w:rsidRDefault="00B30527" w:rsidP="00C47748">
      <w:pPr>
        <w:pStyle w:val="Odstavecseseznamem"/>
        <w:numPr>
          <w:ilvl w:val="0"/>
          <w:numId w:val="2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syntetické charakteristiky (bankrotní a bonitní modely)</w:t>
      </w:r>
    </w:p>
    <w:p w:rsidR="002B1159" w:rsidRDefault="002B1159" w:rsidP="0018195A">
      <w:pPr>
        <w:jc w:val="both"/>
        <w:rPr>
          <w:rFonts w:ascii="Arial Nova Cond Light" w:hAnsi="Arial Nova Cond Light"/>
          <w:sz w:val="24"/>
          <w:szCs w:val="24"/>
        </w:rPr>
      </w:pPr>
    </w:p>
    <w:p w:rsidR="0018195A" w:rsidRDefault="002B1159" w:rsidP="0018195A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Identifikační </w:t>
      </w:r>
      <w:r w:rsidR="004C23E7">
        <w:rPr>
          <w:rFonts w:ascii="Arial Nova Cond Light" w:hAnsi="Arial Nova Cond Light"/>
          <w:sz w:val="24"/>
          <w:szCs w:val="24"/>
        </w:rPr>
        <w:t>údaje</w:t>
      </w:r>
    </w:p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3764"/>
        <w:gridCol w:w="668"/>
        <w:gridCol w:w="733"/>
        <w:gridCol w:w="805"/>
      </w:tblGrid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NAZEV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IC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ROK_UPADKU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Rok úpadku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ROK_UDAJU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Rok finančních údajů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STARI_DAT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Stáří dat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STAV</w:t>
            </w:r>
          </w:p>
        </w:tc>
        <w:tc>
          <w:tcPr>
            <w:tcW w:w="37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Stav podniku</w:t>
            </w:r>
          </w:p>
        </w:tc>
        <w:tc>
          <w:tcPr>
            <w:tcW w:w="6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B1159" w:rsidRDefault="002B115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2B1159" w:rsidRDefault="002B115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Default="004C23E7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Pr="00D75F2D" w:rsidRDefault="004C23E7" w:rsidP="00DC1D4B">
      <w:pPr>
        <w:jc w:val="both"/>
        <w:rPr>
          <w:rFonts w:ascii="Arial Nova Cond Light" w:hAnsi="Arial Nova Cond Light"/>
          <w:sz w:val="24"/>
          <w:szCs w:val="24"/>
        </w:rPr>
      </w:pPr>
      <w:r w:rsidRPr="00D75F2D">
        <w:rPr>
          <w:rFonts w:ascii="Arial Nova Cond Light" w:hAnsi="Arial Nova Cond Light"/>
          <w:sz w:val="24"/>
          <w:szCs w:val="24"/>
        </w:rPr>
        <w:lastRenderedPageBreak/>
        <w:t>Údaje z finančních výkazů</w:t>
      </w:r>
    </w:p>
    <w:tbl>
      <w:tblPr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660"/>
        <w:gridCol w:w="664"/>
        <w:gridCol w:w="729"/>
        <w:gridCol w:w="800"/>
      </w:tblGrid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KR_ZAV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Krátkodobé závazky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DL_ZAV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Dlouhodobé závazky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BANK_UVERY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Bankovní úvěry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FIN_VYPOM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Finanční výpomoci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CELK_ZAV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Závazky celkem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DL_KAP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Dlouhodobý kapitál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DIM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Dlouhodobý majetek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VK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Vlastní kapitál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TRZBY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Tržby za zboží, služby a výrobky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VYK_SPOTR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Výkonová spotřeba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SPOTR_MAT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Spotřeba materiálu a energie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SLUZBY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07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OS_NAKL</w:t>
            </w:r>
          </w:p>
        </w:tc>
        <w:tc>
          <w:tcPr>
            <w:tcW w:w="3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6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B1159" w:rsidRDefault="002B115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Pr="00D75F2D" w:rsidRDefault="004C23E7" w:rsidP="00DC1D4B">
      <w:pPr>
        <w:jc w:val="both"/>
        <w:rPr>
          <w:rFonts w:ascii="Arial Nova Cond Light" w:hAnsi="Arial Nova Cond Light"/>
          <w:sz w:val="24"/>
          <w:szCs w:val="24"/>
        </w:rPr>
      </w:pPr>
      <w:r w:rsidRPr="00D75F2D">
        <w:rPr>
          <w:rFonts w:ascii="Arial Nova Cond Light" w:hAnsi="Arial Nova Cond Light"/>
          <w:sz w:val="24"/>
          <w:szCs w:val="24"/>
        </w:rPr>
        <w:t>Ukazatele provozní výkonnosti</w:t>
      </w:r>
    </w:p>
    <w:tbl>
      <w:tblPr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3774"/>
        <w:gridCol w:w="670"/>
        <w:gridCol w:w="735"/>
        <w:gridCol w:w="807"/>
      </w:tblGrid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PRID_HOD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Přidaná hodnota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PRIM_EB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Primární EBITDA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PROV_EB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Provozní EBITDA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EBITDA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EBITDA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EBIT</w:t>
            </w:r>
          </w:p>
        </w:tc>
        <w:tc>
          <w:tcPr>
            <w:tcW w:w="37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Zisk před zdaněním a úroky (EBIT)</w:t>
            </w:r>
          </w:p>
        </w:tc>
        <w:tc>
          <w:tcPr>
            <w:tcW w:w="6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MARZE_PRID_HOD_VYK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přidané hodnoty z výkonů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MARZE_PRIM_EB_VYK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primární EBITDA z výkonů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MARZE_PROV_EB_VYK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provozní EBITDA z výkonů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MARZE_EBITDA_VYK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EBITDA z výkonů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MARZE_PRID_HOD_TR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přidané hodnoty z tržeb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MARZE_PRIM_EB_TR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primární EBITDA z tržeb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MARZE_PROV_EB_TR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provozní EBITDA z tržeb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MARZE_EBITDA_TR</w:t>
            </w:r>
          </w:p>
        </w:tc>
        <w:tc>
          <w:tcPr>
            <w:tcW w:w="37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Marže EBITDA z tržeb</w:t>
            </w:r>
          </w:p>
        </w:tc>
        <w:tc>
          <w:tcPr>
            <w:tcW w:w="6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PODIL_VYK_SPOTR_VYK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výkonové spotřeby na výkonech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PODIL_MAT_VYK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spotřeby materiálu na výkonech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PODIL_SLUZBY_VYK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služeb na výkonech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PODIL_OS_NAKL_VYK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osobních nákladů na výkonech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PODIL_VYK_SPOTR_TR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výkonové spotřeby na tržbách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PODIL_MAT_TR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spotřeby materiálu na tržbách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PODIL_SLUZBY_TR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služeb na tržbách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PODIL_OS_NAKL_TR</w:t>
            </w:r>
          </w:p>
        </w:tc>
        <w:tc>
          <w:tcPr>
            <w:tcW w:w="37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osobních nákladů na tržbách</w:t>
            </w:r>
          </w:p>
        </w:tc>
        <w:tc>
          <w:tcPr>
            <w:tcW w:w="6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Default="004C23E7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Default="004C23E7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Default="004C23E7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Default="004C23E7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4C23E7" w:rsidRPr="00D75F2D" w:rsidRDefault="004C23E7" w:rsidP="00DC1D4B">
      <w:pPr>
        <w:jc w:val="both"/>
        <w:rPr>
          <w:rFonts w:ascii="Arial Nova Cond Light" w:hAnsi="Arial Nova Cond Light"/>
          <w:sz w:val="24"/>
          <w:szCs w:val="24"/>
        </w:rPr>
      </w:pPr>
      <w:r w:rsidRPr="00D75F2D">
        <w:rPr>
          <w:rFonts w:ascii="Arial Nova Cond Light" w:hAnsi="Arial Nova Cond Light"/>
          <w:sz w:val="24"/>
          <w:szCs w:val="24"/>
        </w:rPr>
        <w:lastRenderedPageBreak/>
        <w:t>Ukazatele likvidity</w:t>
      </w:r>
    </w:p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3784"/>
        <w:gridCol w:w="671"/>
        <w:gridCol w:w="737"/>
        <w:gridCol w:w="809"/>
      </w:tblGrid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NUT_HOT_15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Nutná hotovost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NUT_HOT_20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Nutná hotovost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DEF_HOT_15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Deficit nutné hotovosti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DEF_HOT_20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Deficit nutné hotovosti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PODIL_NUTH_15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Podíl nutné hotovosti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PODIL_NUTH_20</w:t>
            </w:r>
          </w:p>
        </w:tc>
        <w:tc>
          <w:tcPr>
            <w:tcW w:w="37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Podíl nutné hotovosti </w:t>
            </w:r>
            <w:proofErr w:type="gram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20%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SALDO_PRIM_NSPK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Saldo primárních NS PK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PODIL_PRIM_NSPK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primárních NS PK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SALDO_NSPK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Saldo NS PK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507DF0">
        <w:trPr>
          <w:trHeight w:val="262"/>
        </w:trPr>
        <w:tc>
          <w:tcPr>
            <w:tcW w:w="31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PODIL_NSPK</w:t>
            </w:r>
          </w:p>
        </w:tc>
        <w:tc>
          <w:tcPr>
            <w:tcW w:w="37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NSPK</w:t>
            </w:r>
          </w:p>
        </w:tc>
        <w:tc>
          <w:tcPr>
            <w:tcW w:w="6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Pr="00D75F2D" w:rsidRDefault="004C23E7" w:rsidP="00DC1D4B">
      <w:pPr>
        <w:jc w:val="both"/>
        <w:rPr>
          <w:rFonts w:ascii="Arial Nova Cond Light" w:hAnsi="Arial Nova Cond Light"/>
          <w:sz w:val="24"/>
          <w:szCs w:val="24"/>
        </w:rPr>
      </w:pPr>
      <w:r w:rsidRPr="00D75F2D">
        <w:rPr>
          <w:rFonts w:ascii="Arial Nova Cond Light" w:hAnsi="Arial Nova Cond Light"/>
          <w:sz w:val="24"/>
          <w:szCs w:val="24"/>
        </w:rPr>
        <w:t>Ukazatele finanční stability</w:t>
      </w:r>
      <w:r w:rsidR="00426997" w:rsidRPr="00D75F2D">
        <w:rPr>
          <w:rFonts w:ascii="Arial Nova Cond Light" w:hAnsi="Arial Nova Cond Light"/>
          <w:sz w:val="24"/>
          <w:szCs w:val="24"/>
        </w:rPr>
        <w:t xml:space="preserve"> a rentability</w:t>
      </w:r>
    </w:p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710"/>
        <w:gridCol w:w="664"/>
        <w:gridCol w:w="729"/>
        <w:gridCol w:w="800"/>
      </w:tblGrid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ZADLUZENI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Celková zadluženost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KRYTI_DM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Stupeň krytí DIM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ROZDIL_DLKAP_DM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Rozdíl dlouhodobého kapitálu a DM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PODIL_DIM_AKTIVA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Podíl DIM na aktivech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RENT_AKT_PRIMEB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Primární EBITDA / Aktiva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RENT_AKT_EB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EBITDA / Aktiva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outlineLvl w:val="0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RENT_AKT_EBIT</w:t>
            </w:r>
          </w:p>
        </w:tc>
        <w:tc>
          <w:tcPr>
            <w:tcW w:w="37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EBIT / Aktiva</w:t>
            </w:r>
          </w:p>
        </w:tc>
        <w:tc>
          <w:tcPr>
            <w:tcW w:w="6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OBRAT_ZASOB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Doba obratu zásob (celkové tržby)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OBRAT_POHL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Doba obratu pohledávek (celkové tržby)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OBRAT_ZAVAZKU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Doba obratu závazků (celkové tržby)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PRIM_EB_ZAV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Poměr primární EBITDA a celkových závazků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PRIM_EB_DL_ZAV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Poměr primární EBITDA a dlouhodobých závazků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0475D9" w:rsidRPr="000475D9" w:rsidTr="004C23E7">
        <w:trPr>
          <w:trHeight w:val="263"/>
        </w:trPr>
        <w:tc>
          <w:tcPr>
            <w:tcW w:w="31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PRIM_EB_UVERY</w:t>
            </w:r>
          </w:p>
        </w:tc>
        <w:tc>
          <w:tcPr>
            <w:tcW w:w="37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Poměr primární EBITDA a bankovních úvěrů</w:t>
            </w:r>
          </w:p>
        </w:tc>
        <w:tc>
          <w:tcPr>
            <w:tcW w:w="6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Pr="00D75F2D" w:rsidRDefault="004C23E7" w:rsidP="00DC1D4B">
      <w:pPr>
        <w:jc w:val="both"/>
        <w:rPr>
          <w:rFonts w:ascii="Arial Nova Cond Light" w:hAnsi="Arial Nova Cond Light"/>
          <w:sz w:val="24"/>
          <w:szCs w:val="24"/>
        </w:rPr>
      </w:pPr>
      <w:r w:rsidRPr="00D75F2D">
        <w:rPr>
          <w:rFonts w:ascii="Arial Nova Cond Light" w:hAnsi="Arial Nova Cond Light"/>
          <w:sz w:val="24"/>
          <w:szCs w:val="24"/>
        </w:rPr>
        <w:t>Syntetické ukazatele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735"/>
        <w:gridCol w:w="664"/>
        <w:gridCol w:w="729"/>
        <w:gridCol w:w="800"/>
      </w:tblGrid>
      <w:tr w:rsidR="000475D9" w:rsidRPr="000475D9" w:rsidTr="0019667E">
        <w:trPr>
          <w:trHeight w:val="21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Proměnná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Polarita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Intervaly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Kategorie</w:t>
            </w:r>
          </w:p>
        </w:tc>
      </w:tr>
      <w:tr w:rsidR="000475D9" w:rsidRPr="000475D9" w:rsidTr="0019667E">
        <w:trPr>
          <w:trHeight w:val="219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KRALICEK</w:t>
            </w:r>
          </w:p>
        </w:tc>
        <w:tc>
          <w:tcPr>
            <w:tcW w:w="3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Kralic</w:t>
            </w:r>
            <w:r w:rsidR="0019667E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kův</w:t>
            </w:r>
            <w:proofErr w:type="spellEnd"/>
            <w:r w:rsidR="0019667E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 Rychlý test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475D9" w:rsidRPr="000475D9" w:rsidTr="0019667E">
        <w:trPr>
          <w:trHeight w:val="219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ALTMAN</w:t>
            </w:r>
          </w:p>
        </w:tc>
        <w:tc>
          <w:tcPr>
            <w:tcW w:w="3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Altman</w:t>
            </w:r>
            <w:r w:rsidR="0019667E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ovo Z-skóre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475D9" w:rsidRPr="000475D9" w:rsidTr="0019667E">
        <w:trPr>
          <w:trHeight w:val="219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IN05</w:t>
            </w:r>
          </w:p>
        </w:tc>
        <w:tc>
          <w:tcPr>
            <w:tcW w:w="3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19667E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Index </w:t>
            </w:r>
            <w:r w:rsidR="000475D9"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IN05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475D9" w:rsidRPr="000475D9" w:rsidTr="0019667E">
        <w:trPr>
          <w:trHeight w:val="219"/>
        </w:trPr>
        <w:tc>
          <w:tcPr>
            <w:tcW w:w="3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IN99</w:t>
            </w:r>
          </w:p>
        </w:tc>
        <w:tc>
          <w:tcPr>
            <w:tcW w:w="3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19667E" w:rsidP="000475D9">
            <w:pPr>
              <w:spacing w:after="0" w:line="240" w:lineRule="auto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 xml:space="preserve">Index </w:t>
            </w:r>
            <w:r w:rsidR="000475D9"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IN99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D9" w:rsidRPr="000475D9" w:rsidRDefault="000475D9" w:rsidP="000475D9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</w:pPr>
            <w:r w:rsidRPr="000475D9">
              <w:rPr>
                <w:rFonts w:ascii="Arial Nova Cond Light" w:eastAsia="Times New Roman" w:hAnsi="Arial Nova Cond Light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AA7DDB" w:rsidRDefault="00AA7DDB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AA7DDB" w:rsidRDefault="00AA7DDB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AA7DDB" w:rsidRDefault="00AA7DDB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AA7DDB" w:rsidRDefault="00AA7DDB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AA7DDB" w:rsidRDefault="00AA7DDB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0475D9" w:rsidRDefault="000475D9" w:rsidP="00DC1D4B">
      <w:pPr>
        <w:jc w:val="both"/>
        <w:rPr>
          <w:rFonts w:ascii="Arial Nova Cond Light" w:hAnsi="Arial Nova Cond Light"/>
          <w:sz w:val="24"/>
          <w:szCs w:val="24"/>
          <w:u w:val="single"/>
        </w:rPr>
      </w:pPr>
    </w:p>
    <w:p w:rsidR="001F2E2F" w:rsidRPr="00552AF6" w:rsidRDefault="005D4414" w:rsidP="001F2E2F">
      <w:pPr>
        <w:jc w:val="both"/>
        <w:rPr>
          <w:rFonts w:ascii="Arial Nova Cond Light" w:hAnsi="Arial Nova Cond Light"/>
          <w:sz w:val="24"/>
          <w:szCs w:val="24"/>
          <w:u w:val="single"/>
        </w:rPr>
      </w:pPr>
      <w:r>
        <w:rPr>
          <w:rFonts w:ascii="Arial Nova Cond Light" w:hAnsi="Arial Nova Cond Light"/>
          <w:sz w:val="24"/>
          <w:szCs w:val="24"/>
          <w:u w:val="single"/>
        </w:rPr>
        <w:lastRenderedPageBreak/>
        <w:t>Polarity vybraných ukaz</w:t>
      </w:r>
      <w:r w:rsidR="008440FF">
        <w:rPr>
          <w:rFonts w:ascii="Arial Nova Cond Light" w:hAnsi="Arial Nova Cond Light"/>
          <w:sz w:val="24"/>
          <w:szCs w:val="24"/>
          <w:u w:val="single"/>
        </w:rPr>
        <w:t>a</w:t>
      </w:r>
      <w:r>
        <w:rPr>
          <w:rFonts w:ascii="Arial Nova Cond Light" w:hAnsi="Arial Nova Cond Light"/>
          <w:sz w:val="24"/>
          <w:szCs w:val="24"/>
          <w:u w:val="single"/>
        </w:rPr>
        <w:t>telů</w:t>
      </w:r>
    </w:p>
    <w:p w:rsidR="00706F1F" w:rsidRDefault="008440FF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U vybraných ukazatelů (tam, kde to dává smysl) byly stanoveny jejich polarity.</w:t>
      </w:r>
      <w:r w:rsidR="009173EA">
        <w:rPr>
          <w:rFonts w:ascii="Arial Nova Cond Light" w:hAnsi="Arial Nova Cond Light"/>
          <w:sz w:val="24"/>
          <w:szCs w:val="24"/>
        </w:rPr>
        <w:t xml:space="preserve"> </w:t>
      </w:r>
      <w:r w:rsidR="00552AF6">
        <w:rPr>
          <w:rFonts w:ascii="Arial Nova Cond Light" w:hAnsi="Arial Nova Cond Light"/>
          <w:sz w:val="24"/>
          <w:szCs w:val="24"/>
        </w:rPr>
        <w:t xml:space="preserve">Elementární charakteristikou polarit je jejich dichotomie, což představuje zjednodušení a vyšší jednoznačnost (vypovídací schopnost).  Není zde totiž zkoumána absolutní výše příslušného ukazatele, ale právě jeho polarita (např. u vlastního kapitálu je-li kladný či záporný, u </w:t>
      </w:r>
      <w:r>
        <w:rPr>
          <w:rFonts w:ascii="Arial Nova Cond Light" w:hAnsi="Arial Nova Cond Light"/>
          <w:sz w:val="24"/>
          <w:szCs w:val="24"/>
        </w:rPr>
        <w:t>jednotlivých úrovní zisku</w:t>
      </w:r>
      <w:r w:rsidR="00552AF6">
        <w:rPr>
          <w:rFonts w:ascii="Arial Nova Cond Light" w:hAnsi="Arial Nova Cond Light"/>
          <w:sz w:val="24"/>
          <w:szCs w:val="24"/>
        </w:rPr>
        <w:t xml:space="preserve"> je-li kladn</w:t>
      </w:r>
      <w:r>
        <w:rPr>
          <w:rFonts w:ascii="Arial Nova Cond Light" w:hAnsi="Arial Nova Cond Light"/>
          <w:sz w:val="24"/>
          <w:szCs w:val="24"/>
        </w:rPr>
        <w:t>ý</w:t>
      </w:r>
      <w:r w:rsidR="00552AF6">
        <w:rPr>
          <w:rFonts w:ascii="Arial Nova Cond Light" w:hAnsi="Arial Nova Cond Light"/>
          <w:sz w:val="24"/>
          <w:szCs w:val="24"/>
        </w:rPr>
        <w:t xml:space="preserve"> či záporn</w:t>
      </w:r>
      <w:r>
        <w:rPr>
          <w:rFonts w:ascii="Arial Nova Cond Light" w:hAnsi="Arial Nova Cond Light"/>
          <w:sz w:val="24"/>
          <w:szCs w:val="24"/>
        </w:rPr>
        <w:t>ý</w:t>
      </w:r>
      <w:r w:rsidR="00552AF6">
        <w:rPr>
          <w:rFonts w:ascii="Arial Nova Cond Light" w:hAnsi="Arial Nova Cond Light"/>
          <w:sz w:val="24"/>
          <w:szCs w:val="24"/>
        </w:rPr>
        <w:t xml:space="preserve"> apod.)</w:t>
      </w:r>
      <w:r w:rsidR="0034292F">
        <w:rPr>
          <w:rFonts w:ascii="Arial Nova Cond Light" w:hAnsi="Arial Nova Cond Light"/>
          <w:sz w:val="24"/>
          <w:szCs w:val="24"/>
        </w:rPr>
        <w:t>.</w:t>
      </w:r>
    </w:p>
    <w:p w:rsidR="0034292F" w:rsidRPr="0034292F" w:rsidRDefault="0034292F" w:rsidP="001F2E2F">
      <w:pPr>
        <w:jc w:val="both"/>
        <w:rPr>
          <w:rFonts w:ascii="Arial Nova Cond Light" w:hAnsi="Arial Nova Cond Light"/>
          <w:sz w:val="24"/>
          <w:szCs w:val="24"/>
          <w:u w:val="single"/>
        </w:rPr>
      </w:pPr>
      <w:r w:rsidRPr="0034292F">
        <w:rPr>
          <w:rFonts w:ascii="Arial Nova Cond Light" w:hAnsi="Arial Nova Cond Light"/>
          <w:sz w:val="24"/>
          <w:szCs w:val="24"/>
          <w:u w:val="single"/>
        </w:rPr>
        <w:t>Substituce spojitých proměnných proměnnými kategoriálními</w:t>
      </w:r>
    </w:p>
    <w:p w:rsidR="0034292F" w:rsidRDefault="0034292F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Vzhledem k charakteru základní části datového soboru (úpadkové podniky) lze předpokládat absenci normálního rozdělení a značné odlehlé a extrémní hodnoty spojitých proměnných. Tato situace </w:t>
      </w:r>
      <w:r w:rsidR="008440FF">
        <w:rPr>
          <w:rFonts w:ascii="Arial Nova Cond Light" w:hAnsi="Arial Nova Cond Light"/>
          <w:sz w:val="24"/>
          <w:szCs w:val="24"/>
        </w:rPr>
        <w:t>je</w:t>
      </w:r>
      <w:r>
        <w:rPr>
          <w:rFonts w:ascii="Arial Nova Cond Light" w:hAnsi="Arial Nova Cond Light"/>
          <w:sz w:val="24"/>
          <w:szCs w:val="24"/>
        </w:rPr>
        <w:t xml:space="preserve"> řešena </w:t>
      </w:r>
      <w:r w:rsidR="008440FF">
        <w:rPr>
          <w:rFonts w:ascii="Arial Nova Cond Light" w:hAnsi="Arial Nova Cond Light"/>
          <w:sz w:val="24"/>
          <w:szCs w:val="24"/>
        </w:rPr>
        <w:t xml:space="preserve">rozdělením těchto proměnných do intervalů a </w:t>
      </w:r>
      <w:r>
        <w:rPr>
          <w:rFonts w:ascii="Arial Nova Cond Light" w:hAnsi="Arial Nova Cond Light"/>
          <w:sz w:val="24"/>
          <w:szCs w:val="24"/>
        </w:rPr>
        <w:t xml:space="preserve">nahrazením </w:t>
      </w:r>
      <w:r w:rsidR="008440FF">
        <w:rPr>
          <w:rFonts w:ascii="Arial Nova Cond Light" w:hAnsi="Arial Nova Cond Light"/>
          <w:sz w:val="24"/>
          <w:szCs w:val="24"/>
        </w:rPr>
        <w:t>jejich původní hodnoty označením intervalu, ve kterém se nacházejí. Dochází tak k nahrazení původních spojitých proměnných pořadovou ordinální škálou, kde</w:t>
      </w:r>
      <w:r>
        <w:rPr>
          <w:rFonts w:ascii="Arial Nova Cond Light" w:hAnsi="Arial Nova Cond Light"/>
          <w:sz w:val="24"/>
          <w:szCs w:val="24"/>
        </w:rPr>
        <w:t>.</w:t>
      </w:r>
      <w:r w:rsidR="00013000">
        <w:rPr>
          <w:rFonts w:ascii="Arial Nova Cond Light" w:hAnsi="Arial Nova Cond Light"/>
          <w:sz w:val="24"/>
          <w:szCs w:val="24"/>
        </w:rPr>
        <w:t xml:space="preserve"> Ordinální škála je organizována vzestupně, </w:t>
      </w:r>
      <w:r w:rsidR="00EF077B">
        <w:rPr>
          <w:rFonts w:ascii="Arial Nova Cond Light" w:hAnsi="Arial Nova Cond Light"/>
          <w:sz w:val="24"/>
          <w:szCs w:val="24"/>
        </w:rPr>
        <w:t>tedy čím lepší hodnota původní spojité proměnné, tím vyšší pořadí intervalu.</w:t>
      </w:r>
      <w:r>
        <w:rPr>
          <w:rFonts w:ascii="Arial Nova Cond Light" w:hAnsi="Arial Nova Cond Light"/>
          <w:sz w:val="24"/>
          <w:szCs w:val="24"/>
        </w:rPr>
        <w:t xml:space="preserve"> Počet intervalů </w:t>
      </w:r>
      <w:r w:rsidR="008440FF">
        <w:rPr>
          <w:rFonts w:ascii="Arial Nova Cond Light" w:hAnsi="Arial Nova Cond Light"/>
          <w:sz w:val="24"/>
          <w:szCs w:val="24"/>
        </w:rPr>
        <w:t>je</w:t>
      </w:r>
      <w:r>
        <w:rPr>
          <w:rFonts w:ascii="Arial Nova Cond Light" w:hAnsi="Arial Nova Cond Light"/>
          <w:sz w:val="24"/>
          <w:szCs w:val="24"/>
        </w:rPr>
        <w:t xml:space="preserve"> stanoven podle </w:t>
      </w:r>
      <w:proofErr w:type="spellStart"/>
      <w:r>
        <w:rPr>
          <w:rFonts w:ascii="Arial Nova Cond Light" w:hAnsi="Arial Nova Cond Light"/>
          <w:sz w:val="24"/>
          <w:szCs w:val="24"/>
        </w:rPr>
        <w:t>Sturgesova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 pravidla. </w:t>
      </w:r>
      <w:r w:rsidR="00EF077B">
        <w:rPr>
          <w:rFonts w:ascii="Arial Nova Cond Light" w:hAnsi="Arial Nova Cond Light"/>
          <w:sz w:val="24"/>
          <w:szCs w:val="24"/>
        </w:rPr>
        <w:t>Spojité proměnné jsou do intervalu rozděleny dvojím způsobem, a to:</w:t>
      </w:r>
    </w:p>
    <w:p w:rsidR="00813CC4" w:rsidRPr="008440FF" w:rsidRDefault="008440FF" w:rsidP="008440FF">
      <w:pPr>
        <w:pStyle w:val="Odstavecseseznamem"/>
        <w:numPr>
          <w:ilvl w:val="0"/>
          <w:numId w:val="3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i</w:t>
      </w:r>
      <w:r w:rsidR="00813CC4" w:rsidRPr="008440FF">
        <w:rPr>
          <w:rFonts w:ascii="Arial Nova Cond Light" w:hAnsi="Arial Nova Cond Light"/>
          <w:sz w:val="24"/>
          <w:szCs w:val="24"/>
        </w:rPr>
        <w:t>ntervaly stejné četnosti</w:t>
      </w:r>
    </w:p>
    <w:p w:rsidR="00813CC4" w:rsidRDefault="00813CC4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Spojité proměnné </w:t>
      </w:r>
      <w:r w:rsidR="00EF077B">
        <w:rPr>
          <w:rFonts w:ascii="Arial Nova Cond Light" w:hAnsi="Arial Nova Cond Light"/>
          <w:sz w:val="24"/>
          <w:szCs w:val="24"/>
        </w:rPr>
        <w:t>jsou</w:t>
      </w:r>
      <w:r>
        <w:rPr>
          <w:rFonts w:ascii="Arial Nova Cond Light" w:hAnsi="Arial Nova Cond Light"/>
          <w:sz w:val="24"/>
          <w:szCs w:val="24"/>
        </w:rPr>
        <w:t xml:space="preserve"> nahrazeny kategoriálními proměnnými tak, v každém intervalu </w:t>
      </w:r>
      <w:r w:rsidR="00EF077B">
        <w:rPr>
          <w:rFonts w:ascii="Arial Nova Cond Light" w:hAnsi="Arial Nova Cond Light"/>
          <w:sz w:val="24"/>
          <w:szCs w:val="24"/>
        </w:rPr>
        <w:t>je</w:t>
      </w:r>
      <w:r>
        <w:rPr>
          <w:rFonts w:ascii="Arial Nova Cond Light" w:hAnsi="Arial Nova Cond Light"/>
          <w:sz w:val="24"/>
          <w:szCs w:val="24"/>
        </w:rPr>
        <w:t xml:space="preserve"> stejný počet proměnných. </w:t>
      </w:r>
    </w:p>
    <w:p w:rsidR="00813CC4" w:rsidRPr="008440FF" w:rsidRDefault="008440FF" w:rsidP="008440FF">
      <w:pPr>
        <w:pStyle w:val="Odstavecseseznamem"/>
        <w:numPr>
          <w:ilvl w:val="0"/>
          <w:numId w:val="3"/>
        </w:num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i</w:t>
      </w:r>
      <w:r w:rsidR="00813CC4" w:rsidRPr="008440FF">
        <w:rPr>
          <w:rFonts w:ascii="Arial Nova Cond Light" w:hAnsi="Arial Nova Cond Light"/>
          <w:sz w:val="24"/>
          <w:szCs w:val="24"/>
        </w:rPr>
        <w:t>ntervaly stejné velikosti</w:t>
      </w:r>
    </w:p>
    <w:p w:rsidR="00813CC4" w:rsidRDefault="00EF077B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S</w:t>
      </w:r>
      <w:r w:rsidR="00813CC4">
        <w:rPr>
          <w:rFonts w:ascii="Arial Nova Cond Light" w:hAnsi="Arial Nova Cond Light"/>
          <w:sz w:val="24"/>
          <w:szCs w:val="24"/>
        </w:rPr>
        <w:t>pojité proměnné</w:t>
      </w:r>
      <w:r>
        <w:rPr>
          <w:rFonts w:ascii="Arial Nova Cond Light" w:hAnsi="Arial Nova Cond Light"/>
          <w:sz w:val="24"/>
          <w:szCs w:val="24"/>
        </w:rPr>
        <w:t xml:space="preserve"> jsou</w:t>
      </w:r>
      <w:r w:rsidR="00813CC4">
        <w:rPr>
          <w:rFonts w:ascii="Arial Nova Cond Light" w:hAnsi="Arial Nova Cond Light"/>
          <w:sz w:val="24"/>
          <w:szCs w:val="24"/>
        </w:rPr>
        <w:t xml:space="preserve"> nahrazeny kategoriálními proměnnými tak, že původní spojité proměnné </w:t>
      </w:r>
      <w:r>
        <w:rPr>
          <w:rFonts w:ascii="Arial Nova Cond Light" w:hAnsi="Arial Nova Cond Light"/>
          <w:sz w:val="24"/>
          <w:szCs w:val="24"/>
        </w:rPr>
        <w:t>jsou</w:t>
      </w:r>
      <w:r w:rsidR="00813CC4">
        <w:rPr>
          <w:rFonts w:ascii="Arial Nova Cond Light" w:hAnsi="Arial Nova Cond Light"/>
          <w:sz w:val="24"/>
          <w:szCs w:val="24"/>
        </w:rPr>
        <w:t xml:space="preserve"> </w:t>
      </w:r>
      <w:r>
        <w:rPr>
          <w:rFonts w:ascii="Arial Nova Cond Light" w:hAnsi="Arial Nova Cond Light"/>
          <w:sz w:val="24"/>
          <w:szCs w:val="24"/>
        </w:rPr>
        <w:t>nejprve nahrazeny normovanou hodnotou</w:t>
      </w:r>
      <w:r w:rsidR="00813CC4">
        <w:rPr>
          <w:rFonts w:ascii="Arial Nova Cond Light" w:hAnsi="Arial Nova Cond Light"/>
          <w:sz w:val="24"/>
          <w:szCs w:val="24"/>
        </w:rPr>
        <w:t xml:space="preserve">, aby výsledné rozdělení četností bylo přibližně normální. Na základě </w:t>
      </w:r>
      <w:r>
        <w:rPr>
          <w:rFonts w:ascii="Arial Nova Cond Light" w:hAnsi="Arial Nova Cond Light"/>
          <w:sz w:val="24"/>
          <w:szCs w:val="24"/>
        </w:rPr>
        <w:t xml:space="preserve">těchto </w:t>
      </w:r>
      <w:r w:rsidR="00813CC4">
        <w:rPr>
          <w:rFonts w:ascii="Arial Nova Cond Light" w:hAnsi="Arial Nova Cond Light"/>
          <w:sz w:val="24"/>
          <w:szCs w:val="24"/>
        </w:rPr>
        <w:t>nových „</w:t>
      </w:r>
      <w:r>
        <w:rPr>
          <w:rFonts w:ascii="Arial Nova Cond Light" w:hAnsi="Arial Nova Cond Light"/>
          <w:sz w:val="24"/>
          <w:szCs w:val="24"/>
        </w:rPr>
        <w:t>normovaných</w:t>
      </w:r>
      <w:r w:rsidR="00813CC4">
        <w:rPr>
          <w:rFonts w:ascii="Arial Nova Cond Light" w:hAnsi="Arial Nova Cond Light"/>
          <w:sz w:val="24"/>
          <w:szCs w:val="24"/>
        </w:rPr>
        <w:t xml:space="preserve">“ hodnot </w:t>
      </w:r>
      <w:r>
        <w:rPr>
          <w:rFonts w:ascii="Arial Nova Cond Light" w:hAnsi="Arial Nova Cond Light"/>
          <w:sz w:val="24"/>
          <w:szCs w:val="24"/>
        </w:rPr>
        <w:t>jsou</w:t>
      </w:r>
      <w:r w:rsidR="00813CC4">
        <w:rPr>
          <w:rFonts w:ascii="Arial Nova Cond Light" w:hAnsi="Arial Nova Cond Light"/>
          <w:sz w:val="24"/>
          <w:szCs w:val="24"/>
        </w:rPr>
        <w:t xml:space="preserve"> budou stanoveny intervaly stejné velikosti.</w:t>
      </w:r>
    </w:p>
    <w:p w:rsidR="00E07B9F" w:rsidRPr="00862C6F" w:rsidRDefault="00862C6F" w:rsidP="001F2E2F">
      <w:pPr>
        <w:jc w:val="both"/>
        <w:rPr>
          <w:rFonts w:ascii="Arial Nova Cond Light" w:hAnsi="Arial Nova Cond Light"/>
          <w:sz w:val="24"/>
          <w:szCs w:val="24"/>
          <w:u w:val="single"/>
        </w:rPr>
      </w:pPr>
      <w:r w:rsidRPr="00862C6F">
        <w:rPr>
          <w:rFonts w:ascii="Arial Nova Cond Light" w:hAnsi="Arial Nova Cond Light"/>
          <w:sz w:val="24"/>
          <w:szCs w:val="24"/>
          <w:u w:val="single"/>
        </w:rPr>
        <w:t>Kategorie syntetických ukazatelů</w:t>
      </w:r>
    </w:p>
    <w:p w:rsidR="00862C6F" w:rsidRDefault="00862C6F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Spojité proměnné představující syntetické ukazatele byly nahrazeny jejich kategoriemi dle odborné literatury, která na základě hodnot syntetických ukazatelů rozděluje podniky na bonitní, bankrotní a podniky nacházející se v šedé zóně.</w:t>
      </w:r>
    </w:p>
    <w:p w:rsidR="00066684" w:rsidRDefault="00253F72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Rozdělení syntetických ukazatelů do kategorií</w:t>
      </w: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05"/>
        <w:gridCol w:w="4897"/>
      </w:tblGrid>
      <w:tr w:rsidR="00F90E37" w:rsidRPr="00AD084E" w:rsidTr="009E7438">
        <w:trPr>
          <w:trHeight w:val="26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Syntetický ukazatel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Kategorie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proofErr w:type="spellStart"/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Kralickův</w:t>
            </w:r>
            <w:proofErr w:type="spellEnd"/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 xml:space="preserve"> Rychlý test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3,01+ (Bankrotní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2,00 - 3,00 (Šedá zóna)</w:t>
            </w:r>
          </w:p>
        </w:tc>
      </w:tr>
      <w:tr w:rsidR="00F90E37" w:rsidRPr="00AD084E" w:rsidTr="009E7438">
        <w:trPr>
          <w:trHeight w:val="276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&lt;= 1,99 (Bonitní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Altmanovo Z-skóre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&lt;= 1,230 (Bankrotní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1,231 - 2,899 (Šedá zóna)</w:t>
            </w:r>
          </w:p>
        </w:tc>
      </w:tr>
      <w:tr w:rsidR="00F90E37" w:rsidRPr="00AD084E" w:rsidTr="009E7438">
        <w:trPr>
          <w:trHeight w:val="276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2,900+ (Bonitní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 xml:space="preserve">Index </w:t>
            </w: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IN005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&lt;= ,900 (Bankrotní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,901 - 1,599 (Šedá zóna)</w:t>
            </w:r>
          </w:p>
        </w:tc>
      </w:tr>
      <w:tr w:rsidR="00F90E37" w:rsidRPr="00AD084E" w:rsidTr="009E7438">
        <w:trPr>
          <w:trHeight w:val="276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1,600+ (Bonitní podniky)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AD084E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 xml:space="preserve">Index </w:t>
            </w: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IN99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&lt;= ,684 (Podniky netvořící hodnotu)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,685 - 1,220 (Podniky spíše netvořící hodnotu)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1,221 - 1,590 (Šedá zóna)</w:t>
            </w:r>
          </w:p>
        </w:tc>
      </w:tr>
      <w:tr w:rsidR="00F90E37" w:rsidRPr="00AD084E" w:rsidTr="009E7438">
        <w:trPr>
          <w:trHeight w:val="265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1,591 - 2,070 (Podniky spíše tvořící hodnotu)</w:t>
            </w:r>
          </w:p>
        </w:tc>
      </w:tr>
      <w:tr w:rsidR="00F90E37" w:rsidRPr="00AD084E" w:rsidTr="009E7438">
        <w:trPr>
          <w:trHeight w:val="276"/>
        </w:trPr>
        <w:tc>
          <w:tcPr>
            <w:tcW w:w="2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3F72" w:rsidRPr="00253F72" w:rsidRDefault="00253F72" w:rsidP="00253F72">
            <w:pPr>
              <w:spacing w:after="0" w:line="240" w:lineRule="auto"/>
              <w:jc w:val="center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3F72" w:rsidRPr="00253F72" w:rsidRDefault="00253F72" w:rsidP="00253F72">
            <w:pPr>
              <w:spacing w:after="0" w:line="240" w:lineRule="auto"/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</w:pPr>
            <w:r w:rsidRPr="00253F72">
              <w:rPr>
                <w:rFonts w:ascii="Arial Nova Cond Light" w:eastAsia="Times New Roman" w:hAnsi="Arial Nova Cond Light" w:cs="Calibri"/>
                <w:sz w:val="20"/>
                <w:szCs w:val="20"/>
                <w:lang w:eastAsia="cs-CZ"/>
              </w:rPr>
              <w:t>2,071+ (Podniky tvořící hodnotu)</w:t>
            </w:r>
          </w:p>
        </w:tc>
      </w:tr>
    </w:tbl>
    <w:p w:rsidR="00E07B9F" w:rsidRPr="00E70F74" w:rsidRDefault="00C6735B" w:rsidP="001F2E2F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lastRenderedPageBreak/>
        <w:t>Detailní přehled p</w:t>
      </w:r>
      <w:r w:rsidR="00E70F74" w:rsidRPr="00E70F74">
        <w:rPr>
          <w:rFonts w:ascii="Arial Nova Cond Light" w:hAnsi="Arial Nova Cond Light"/>
          <w:sz w:val="24"/>
          <w:szCs w:val="24"/>
        </w:rPr>
        <w:t>roměnn</w:t>
      </w:r>
      <w:r>
        <w:rPr>
          <w:rFonts w:ascii="Arial Nova Cond Light" w:hAnsi="Arial Nova Cond Light"/>
          <w:sz w:val="24"/>
          <w:szCs w:val="24"/>
        </w:rPr>
        <w:t>ých</w:t>
      </w:r>
      <w:r w:rsidR="00E70F74" w:rsidRPr="00E70F74">
        <w:rPr>
          <w:rFonts w:ascii="Arial Nova Cond Light" w:hAnsi="Arial Nova Cond Light"/>
          <w:sz w:val="24"/>
          <w:szCs w:val="24"/>
        </w:rPr>
        <w:t xml:space="preserve"> datového souboru</w:t>
      </w:r>
    </w:p>
    <w:tbl>
      <w:tblPr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5428"/>
        <w:gridCol w:w="1251"/>
      </w:tblGrid>
      <w:tr w:rsidR="00E07B9F" w:rsidRPr="007E2F99" w:rsidTr="007E2F99">
        <w:trPr>
          <w:cantSplit/>
          <w:trHeight w:hRule="exact" w:val="654"/>
        </w:trPr>
        <w:tc>
          <w:tcPr>
            <w:tcW w:w="27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Variable</w:t>
            </w:r>
            <w:proofErr w:type="spellEnd"/>
          </w:p>
        </w:tc>
        <w:tc>
          <w:tcPr>
            <w:tcW w:w="54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07B9F" w:rsidRPr="007E2F99" w:rsidRDefault="00E07B9F" w:rsidP="002B1159">
            <w:pPr>
              <w:spacing w:line="320" w:lineRule="atLeast"/>
              <w:ind w:left="60" w:right="60"/>
              <w:jc w:val="center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Label</w:t>
            </w:r>
          </w:p>
        </w:tc>
        <w:tc>
          <w:tcPr>
            <w:tcW w:w="12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07B9F" w:rsidRPr="007E2F99" w:rsidRDefault="00E07B9F" w:rsidP="002B1159">
            <w:pPr>
              <w:spacing w:line="320" w:lineRule="atLeast"/>
              <w:ind w:left="60" w:right="60"/>
              <w:jc w:val="center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Measurement</w:t>
            </w:r>
            <w:proofErr w:type="spellEnd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 xml:space="preserve"> Level</w:t>
            </w:r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NAZEV</w:t>
            </w:r>
          </w:p>
        </w:tc>
        <w:tc>
          <w:tcPr>
            <w:tcW w:w="54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Název</w:t>
            </w:r>
          </w:p>
        </w:tc>
        <w:tc>
          <w:tcPr>
            <w:tcW w:w="12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IC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IČ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ROK_UPADKU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Rok úpadku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ROK_UDAJU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Rok údajů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STARI_DAT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Stáří dat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STAV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Stav podniku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Nominal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KR_ZAV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Krátkodobé závazky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DL_ZAV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Dlouhodobé závazky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BANK_UVERY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Bankovní úvěry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FIN_VYPOM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Finanční výpomoci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CELK_ZAV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Celkové závazky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DL_KAP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Dlouhodobý kapitál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DIM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Dlouhodobý majetek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VK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Vlastní kapitál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TRZBY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Tržby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VYK_SPOTR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Výkonová spotřeba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SPOTR_MAT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Spotřeba materiálu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SLUZBY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Služby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OS_NAKL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Osobní náklady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PRID_HOD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Přidaná hodnota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PRIM_EB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Primární 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PROV_EB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Provozní 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EBITDA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EBIT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EBIT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MARZE_PRID_HOD_TR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přidané hodnoty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MARZE_PRIM_EB_TR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primární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MARZE_PROV_EB_TR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provozní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MARZE_EBITDA_TR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MARZE_PRID_HOD_VYK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přidané hodnoty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MARZE_PRIM_EB_VYK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primární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MARZE_PROV_EB_VYK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provozní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MARZE_EBITDA_VYK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Marže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PODIL_VYK_SPOTR_TR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výkonové spotřeby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PODIL_MAT_TR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spotřeby materiálu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PODIL_SLUZBY_TR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služeb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PODIL_OS_NAKL_TR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osobních nákladů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lastRenderedPageBreak/>
              <w:t>PODIL_VYK_SPOTR_VYK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výkonové spotřeby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PODIL_MAT_VYK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spotřeby materiálu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PODIL_SLUZBY_VYK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služeb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PODIL_OS_NAKL_VYK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osobních nákladů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NUT_HOT_15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Nutná hotovost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NUT_HOT_20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Nutná hotovost (20 %)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DEF_HOT_15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Deficit nutné hotovosti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DEF_HOT_20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Deficit nutné hotovosti (20 %)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PODIL_NUTH_15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hotovosti na nutné hotovosti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PODIL_NUTH_20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hotovosti nutné hotovosti (20 %)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SALDO_PRIM_NSPK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Saldo primárních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PODIL_PRIM_NSPK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primárních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SALDO_NSPK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Saldo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PODIL_NSPK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ZADLUZENI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Celková zadluženost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KRYTI_DM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Stupeň krytí dlouhodobého majetku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ROZDIL_DLKAP_DM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Rozdíl dlo</w:t>
            </w:r>
            <w:r w:rsidR="002D50FD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u</w:t>
            </w: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hodobého kapitálu a dlouhodobého majetku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PODIL_DIM_AKTIVA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dlouhodobého majetku na aktivech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RENT_AKT_PRIMEB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Rentabilita aktiv (primární EBITDA)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RENT_AKT_EB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Rentabilita aktiv (EBITDA)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RENT_AKT_EBIT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Rentabilita aktiv (EBIT)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K1_KVOTA_VK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K1 - Kvóta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vlastního kapitálu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K2_CF_TRZBY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K2 - Cash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</w:t>
            </w: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flow</w:t>
            </w:r>
            <w:proofErr w:type="spell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v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K3_ROA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K3 - ROA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K4_SPLAC_DLUHU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K4 - Doba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splácení dluhu v letech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KRALICEK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Kralickův</w:t>
            </w:r>
            <w:proofErr w:type="spell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Rychlý test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A1_PK_AKTIVA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A1 - Pracovní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kapitál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A2_NZ_AKTIVA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A2 - Nerozdělení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zisk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A3_EBIT_AKTIVA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A3 - EBIT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A4_VK_CK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A4 - Vlastní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kapitál / Celkový kapitál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A5_TRZBY_AKTIVA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A5 - Tržby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ALTMAN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Altmanovo Z-skóre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IN1_AKTIVA_CK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IN1 - Aktiva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Cizí kapitál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IN2_EBIT_UROKY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IN2 - EBIT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úroky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IN3_EBIT_AKTIVA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IN3 - EBIT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IN4_TRZBY_AKTIVA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IN4 - Tržby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/ aktiva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IN5_OA_KZ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IN5 - Oběžná</w:t>
            </w:r>
            <w:proofErr w:type="gram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aktiva / krátkodobé závazky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IN05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Index IN05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IN99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Index IN99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OBRAT_ZASOB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Doba obratu zásob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OBRAT_POHL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Doba obratu pohledávek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lastRenderedPageBreak/>
              <w:t>OBRAT_ZAVAZKU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Doba obratu závazků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PRIM_EB_ZAV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primární EBITDA a celkových závazků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PRIM_EB_DL_ZAV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primární EBITDA a dlouhodobých závazků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PRIM_EB_UVERY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Podíl primární EBITDA a bankovních úvěrů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Scale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Polar_VK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vlastního kapitálu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Polar_PridHod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přidané hodnoty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Polar_PrimEB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primární 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Polar_ProvEB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provozní 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Polar_EB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EBITDA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Polar_EBIT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EBIT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Polar_NUTHOT15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nutné hotovosti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Polar_NUTHOT20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nutné hotovosti (20 %)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Polar_PrimNSPK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salda primárních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Polar_NSPK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celkových NSPK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Polar_DIM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Polarita rozdílu DIM a dlouhodobého kapitálu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INT1_MARZE_PRID_HOD_TR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přidané hodnoty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INT1_MARZE_PRIM_EB_TR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primární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INT1_MARZE_PROV_EB_TR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provozní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EBITDA z tržeb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INT1_MARZE_PRID_HOD_VYK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přidané hodnoty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INT1_MARZE_PRIM_EB_VYK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primární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INT1_MARZE_PROV_EB_VYK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provozní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INT1_MARZE_EB_VYK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marže EBITDA z výkonů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INT1_NUTHOT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nutné hotovosti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INT1_NUTHOT_20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nutné hotovosti (20 %)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INT1_KRTI_DIM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stupně krytí dlouhodobého majetku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INT1_RENT_AKT_PRIM_EB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(primární EBITDA)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INT1_RENT_AKT_EB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(EBITDA)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INT1_RENT_AKT_EBIT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(EBIT)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INT1_PRIM_EB_ZAV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primární EBITDA na celkových závazcích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INT1_PRIM_EB_DL_ZAV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primární EBITDA na dlouhodobých závazcích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INT1_PRIM_EB_UVERY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primární EBITDA na úvěrech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INT1_PODIL_VYK_SPOT_TR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výkonové spotřeby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INT1_PODIL_MAT_TR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spotřeby materiálu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INT1_PODIL_SL_TR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služeb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INT1_PODIL_OS_NAKL_TR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osobních nákladů na tržbách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INT1_PODIL_VYK_SPOTR_VYK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výkonové spotřeby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INT1_PODIL_MAT_VYK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spotřeby materiálu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INT1_PODIL_SL_VYK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služeb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INT1_PODIL_OS_NAKL_VYK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osobních nákladů na výkonech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INT1_ZADLUZENI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celkové zadluženosti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lastRenderedPageBreak/>
              <w:t>INT1_PODIL_DIM_AKTIVA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podílu dlouhodobého majetku na aktivech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INT1_OBRAT_ZASOB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doby obratu zásob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INT1_OBRAT_POHL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doby obratu pohledávek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INT1_OBRAT_ZAV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doby obratu závazků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Kat_Kralicek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Kategorie </w:t>
            </w: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Kralickova</w:t>
            </w:r>
            <w:proofErr w:type="spellEnd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 rychlého testu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Kat_Altman</w:t>
            </w:r>
            <w:proofErr w:type="spellEnd"/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Kategorie Altmanova Z-skóre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Kat_IN05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Kategorie Indexu IN05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Kat_IN99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Ka</w:t>
            </w:r>
            <w:r w:rsidR="00B41D5A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</w:t>
            </w: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egorie Indexu IN99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INT2_MARZE_PRID_HOD_TR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přidané hodnoty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tržeb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INT2_MARZE_PRIM_EB_TR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primární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tržeb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INT2_MARZE_PROV_EB_TR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provozní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tržeb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INT2_MARZE_EB_TR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</w:t>
            </w:r>
            <w:r w:rsidR="002D50FD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</w:t>
            </w: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ly marže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tržeb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INT2_MARZE_PRID_HOD_VYK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přidané hodnoty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INT2_MARZE_PRIM_EB_VYK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primární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INT2_MARZE_PROV_EB_VYK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provozní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INT2_MARZE_EB_VYK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marže EBITDA z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INT2_NUTNOT_15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nutné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hotovosti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INT2_NUTHOT_20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nutné hotovosti (20 %) - NORM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INT2_KRYTI_DIM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stupně krytí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DIM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INT2_RENT_AKT_PRIMEB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(primární EBITDA) - NORM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INT2_RENT_AKT_EB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(EBITDA) - NORM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INT2_RENT_AKT_EBIT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Intervaly rentability aktiv (EBIT) - NORM</w:t>
            </w:r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INT2_PRIM_EB_ZAV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poměru primární EBITDA a celkových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závazků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INT2_PRIM_EB_DL_ZAV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poměru primární EBITDA a dlouhodobých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závazků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INT2_PRIM_EB_UVERY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poměru primární EBITDA 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úvěrů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INT2_PODIL_VYK_SPOTR_TR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výkonové spotřeby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tržbách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INT2_PODIL_MAT_TR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spotřeby materiálu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tržbách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INT2_PODIL_SLUZBY_TR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služeb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tržbách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INT2_PODIL_OS_NAKL_TR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osobních nákladů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tržbách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INT2_PODIL_VYK_SPOTR_VYK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výkonové spotřeby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výkonech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INT2_PODIL_MAT_VYK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spotřeby materiálu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výkonech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INT2_PODIL_SLUZBY_VYK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služeb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výkonech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INT2_PODIL_OS_NAKL_VYK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osobních nákladů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výkonech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INT2_ZADLUZENI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celkové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zadluženosti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INT2_PODIL_DIM_AKTIVA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podílu DIM na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aktivech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INT2_OBRAT_ZASOB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doby obratu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zásob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INT2_OBRAT_POHL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doby obratu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pohledávek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  <w:tr w:rsidR="00E07B9F" w:rsidRPr="007E2F99" w:rsidTr="007E2F99">
        <w:trPr>
          <w:cantSplit/>
          <w:trHeight w:hRule="exact" w:val="340"/>
        </w:trPr>
        <w:tc>
          <w:tcPr>
            <w:tcW w:w="27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264A60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264A60"/>
                <w:sz w:val="20"/>
                <w:szCs w:val="20"/>
              </w:rPr>
              <w:t>INT2_OBRAT_ZAVAZKU</w:t>
            </w:r>
          </w:p>
        </w:tc>
        <w:tc>
          <w:tcPr>
            <w:tcW w:w="54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 xml:space="preserve">Intervaly doby obratu </w:t>
            </w:r>
            <w:proofErr w:type="gram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závazků - NORM</w:t>
            </w:r>
            <w:proofErr w:type="gramEnd"/>
          </w:p>
        </w:tc>
        <w:tc>
          <w:tcPr>
            <w:tcW w:w="12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07B9F" w:rsidRPr="007E2F99" w:rsidRDefault="00E07B9F" w:rsidP="002B1159">
            <w:pPr>
              <w:spacing w:line="320" w:lineRule="atLeast"/>
              <w:ind w:left="60" w:right="60"/>
              <w:rPr>
                <w:rFonts w:ascii="Arial Nova Cond Light" w:hAnsi="Arial Nova Cond Light" w:cs="Arial"/>
                <w:color w:val="010205"/>
                <w:sz w:val="20"/>
                <w:szCs w:val="20"/>
              </w:rPr>
            </w:pPr>
            <w:proofErr w:type="spellStart"/>
            <w:r w:rsidRPr="007E2F99">
              <w:rPr>
                <w:rFonts w:ascii="Arial Nova Cond Light" w:hAnsi="Arial Nova Cond Light" w:cs="Arial"/>
                <w:color w:val="010205"/>
                <w:sz w:val="20"/>
                <w:szCs w:val="20"/>
              </w:rPr>
              <w:t>Ordinal</w:t>
            </w:r>
            <w:proofErr w:type="spellEnd"/>
          </w:p>
        </w:tc>
      </w:tr>
    </w:tbl>
    <w:p w:rsidR="00E07B9F" w:rsidRDefault="00E07B9F" w:rsidP="001F2E2F">
      <w:pPr>
        <w:jc w:val="both"/>
        <w:rPr>
          <w:rFonts w:ascii="Arial Nova Cond Light" w:hAnsi="Arial Nova Cond Light"/>
          <w:sz w:val="24"/>
          <w:szCs w:val="24"/>
        </w:rPr>
      </w:pPr>
    </w:p>
    <w:p w:rsidR="00C47748" w:rsidRDefault="00C47748" w:rsidP="00DC1D4B">
      <w:pPr>
        <w:jc w:val="both"/>
        <w:rPr>
          <w:rFonts w:ascii="Arial Nova Cond Light" w:hAnsi="Arial Nova Cond Light"/>
          <w:sz w:val="24"/>
          <w:szCs w:val="24"/>
        </w:rPr>
      </w:pPr>
      <w:bookmarkStart w:id="0" w:name="_GoBack"/>
      <w:bookmarkEnd w:id="0"/>
    </w:p>
    <w:sectPr w:rsidR="00C47748" w:rsidSect="001A729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E0" w:rsidRDefault="00EB1EE0" w:rsidP="001A7291">
      <w:pPr>
        <w:spacing w:after="0" w:line="240" w:lineRule="auto"/>
      </w:pPr>
      <w:r>
        <w:separator/>
      </w:r>
    </w:p>
  </w:endnote>
  <w:endnote w:type="continuationSeparator" w:id="0">
    <w:p w:rsidR="00EB1EE0" w:rsidRDefault="00EB1EE0" w:rsidP="001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184329"/>
      <w:docPartObj>
        <w:docPartGallery w:val="Page Numbers (Bottom of Page)"/>
        <w:docPartUnique/>
      </w:docPartObj>
    </w:sdtPr>
    <w:sdtEndPr>
      <w:rPr>
        <w:rFonts w:ascii="Arial Nova Cond Light" w:hAnsi="Arial Nova Cond Light"/>
      </w:rPr>
    </w:sdtEndPr>
    <w:sdtContent>
      <w:p w:rsidR="00C77B2F" w:rsidRPr="001A7291" w:rsidRDefault="00C77B2F">
        <w:pPr>
          <w:pStyle w:val="Zpat"/>
          <w:jc w:val="center"/>
          <w:rPr>
            <w:rFonts w:ascii="Arial Nova Cond Light" w:hAnsi="Arial Nova Cond Light"/>
          </w:rPr>
        </w:pPr>
        <w:r w:rsidRPr="001A7291">
          <w:rPr>
            <w:rFonts w:ascii="Arial Nova Cond Light" w:hAnsi="Arial Nova Cond Light"/>
          </w:rPr>
          <w:fldChar w:fldCharType="begin"/>
        </w:r>
        <w:r w:rsidRPr="001A7291">
          <w:rPr>
            <w:rFonts w:ascii="Arial Nova Cond Light" w:hAnsi="Arial Nova Cond Light"/>
          </w:rPr>
          <w:instrText>PAGE   \* MERGEFORMAT</w:instrText>
        </w:r>
        <w:r w:rsidRPr="001A7291">
          <w:rPr>
            <w:rFonts w:ascii="Arial Nova Cond Light" w:hAnsi="Arial Nova Cond Light"/>
          </w:rPr>
          <w:fldChar w:fldCharType="separate"/>
        </w:r>
        <w:r w:rsidRPr="001A7291">
          <w:rPr>
            <w:rFonts w:ascii="Arial Nova Cond Light" w:hAnsi="Arial Nova Cond Light"/>
          </w:rPr>
          <w:t>2</w:t>
        </w:r>
        <w:r w:rsidRPr="001A7291">
          <w:rPr>
            <w:rFonts w:ascii="Arial Nova Cond Light" w:hAnsi="Arial Nova Cond Light"/>
          </w:rPr>
          <w:fldChar w:fldCharType="end"/>
        </w:r>
      </w:p>
    </w:sdtContent>
  </w:sdt>
  <w:p w:rsidR="00C77B2F" w:rsidRDefault="00C77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E0" w:rsidRDefault="00EB1EE0" w:rsidP="001A7291">
      <w:pPr>
        <w:spacing w:after="0" w:line="240" w:lineRule="auto"/>
      </w:pPr>
      <w:r>
        <w:separator/>
      </w:r>
    </w:p>
  </w:footnote>
  <w:footnote w:type="continuationSeparator" w:id="0">
    <w:p w:rsidR="00EB1EE0" w:rsidRDefault="00EB1EE0" w:rsidP="001A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912"/>
    <w:multiLevelType w:val="hybridMultilevel"/>
    <w:tmpl w:val="564E53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340E4"/>
    <w:multiLevelType w:val="hybridMultilevel"/>
    <w:tmpl w:val="F964F2AE"/>
    <w:lvl w:ilvl="0" w:tplc="C186DE9E">
      <w:start w:val="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6897"/>
    <w:multiLevelType w:val="hybridMultilevel"/>
    <w:tmpl w:val="439E61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1A"/>
    <w:rsid w:val="00004DE7"/>
    <w:rsid w:val="00013000"/>
    <w:rsid w:val="000475D9"/>
    <w:rsid w:val="00066684"/>
    <w:rsid w:val="001106E3"/>
    <w:rsid w:val="0013216E"/>
    <w:rsid w:val="00175718"/>
    <w:rsid w:val="0018195A"/>
    <w:rsid w:val="00195135"/>
    <w:rsid w:val="0019667E"/>
    <w:rsid w:val="001A7291"/>
    <w:rsid w:val="001D212D"/>
    <w:rsid w:val="001D36F5"/>
    <w:rsid w:val="001F2E2F"/>
    <w:rsid w:val="00230208"/>
    <w:rsid w:val="00253F72"/>
    <w:rsid w:val="00296582"/>
    <w:rsid w:val="002B1159"/>
    <w:rsid w:val="002D50FD"/>
    <w:rsid w:val="0030752E"/>
    <w:rsid w:val="003418A4"/>
    <w:rsid w:val="0034292F"/>
    <w:rsid w:val="003D6730"/>
    <w:rsid w:val="003F69BD"/>
    <w:rsid w:val="00426997"/>
    <w:rsid w:val="00461009"/>
    <w:rsid w:val="00461BC6"/>
    <w:rsid w:val="004844CF"/>
    <w:rsid w:val="004A7EAF"/>
    <w:rsid w:val="004C23E7"/>
    <w:rsid w:val="00507DF0"/>
    <w:rsid w:val="00537574"/>
    <w:rsid w:val="00552AF6"/>
    <w:rsid w:val="0058574F"/>
    <w:rsid w:val="005D4414"/>
    <w:rsid w:val="00622BCA"/>
    <w:rsid w:val="00627F8C"/>
    <w:rsid w:val="0066209F"/>
    <w:rsid w:val="00676E5E"/>
    <w:rsid w:val="006774BB"/>
    <w:rsid w:val="00677FF3"/>
    <w:rsid w:val="006A1B0E"/>
    <w:rsid w:val="006E153D"/>
    <w:rsid w:val="006E3011"/>
    <w:rsid w:val="00700F34"/>
    <w:rsid w:val="00706F1F"/>
    <w:rsid w:val="00713775"/>
    <w:rsid w:val="00745C20"/>
    <w:rsid w:val="007914BB"/>
    <w:rsid w:val="007E076C"/>
    <w:rsid w:val="007E2F99"/>
    <w:rsid w:val="0081301A"/>
    <w:rsid w:val="00813CC4"/>
    <w:rsid w:val="008440FF"/>
    <w:rsid w:val="008627BC"/>
    <w:rsid w:val="00862C6F"/>
    <w:rsid w:val="008A4004"/>
    <w:rsid w:val="008E6D75"/>
    <w:rsid w:val="009173EA"/>
    <w:rsid w:val="0092584C"/>
    <w:rsid w:val="009620F8"/>
    <w:rsid w:val="00962586"/>
    <w:rsid w:val="009E5978"/>
    <w:rsid w:val="009E7438"/>
    <w:rsid w:val="00A30F0F"/>
    <w:rsid w:val="00AA7DDB"/>
    <w:rsid w:val="00AD084E"/>
    <w:rsid w:val="00B00981"/>
    <w:rsid w:val="00B161D2"/>
    <w:rsid w:val="00B30527"/>
    <w:rsid w:val="00B41D5A"/>
    <w:rsid w:val="00B468F9"/>
    <w:rsid w:val="00B46C82"/>
    <w:rsid w:val="00B67951"/>
    <w:rsid w:val="00B71C34"/>
    <w:rsid w:val="00C47748"/>
    <w:rsid w:val="00C6735B"/>
    <w:rsid w:val="00C77B2F"/>
    <w:rsid w:val="00D75F2D"/>
    <w:rsid w:val="00D80DA7"/>
    <w:rsid w:val="00DC1D4B"/>
    <w:rsid w:val="00DD343E"/>
    <w:rsid w:val="00E07B9F"/>
    <w:rsid w:val="00E70F74"/>
    <w:rsid w:val="00E801C9"/>
    <w:rsid w:val="00E97245"/>
    <w:rsid w:val="00EB1EE0"/>
    <w:rsid w:val="00EC01BC"/>
    <w:rsid w:val="00EF077B"/>
    <w:rsid w:val="00F23746"/>
    <w:rsid w:val="00F50AE6"/>
    <w:rsid w:val="00F53B6D"/>
    <w:rsid w:val="00F67C43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658F-C927-4B1A-827C-403267C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7B9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07B9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07B9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0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07B9F"/>
    <w:rPr>
      <w:rFonts w:ascii="Courier New" w:eastAsiaTheme="minorEastAsia" w:hAnsi="Courier New" w:cs="Courier New"/>
      <w:b/>
      <w:bCs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07B9F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07B9F"/>
    <w:rPr>
      <w:rFonts w:ascii="Courier New" w:eastAsiaTheme="minorEastAsia" w:hAnsi="Courier New" w:cs="Courier New"/>
      <w:b/>
      <w:bCs/>
      <w:color w:val="000000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291"/>
  </w:style>
  <w:style w:type="paragraph" w:styleId="Zpat">
    <w:name w:val="footer"/>
    <w:basedOn w:val="Normln"/>
    <w:link w:val="ZpatChar"/>
    <w:uiPriority w:val="99"/>
    <w:unhideWhenUsed/>
    <w:rsid w:val="001A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3038</Words>
  <Characters>17927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Kuděj</dc:creator>
  <cp:keywords/>
  <dc:description/>
  <cp:lastModifiedBy>Michal Kuděj</cp:lastModifiedBy>
  <cp:revision>68</cp:revision>
  <cp:lastPrinted>2019-03-15T11:30:00Z</cp:lastPrinted>
  <dcterms:created xsi:type="dcterms:W3CDTF">2019-02-19T20:53:00Z</dcterms:created>
  <dcterms:modified xsi:type="dcterms:W3CDTF">2019-04-10T17:50:00Z</dcterms:modified>
</cp:coreProperties>
</file>