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2D" w:rsidRPr="001D212D" w:rsidRDefault="001D212D" w:rsidP="001D212D">
      <w:pPr>
        <w:jc w:val="center"/>
        <w:rPr>
          <w:rFonts w:ascii="Arial Nova Cond Light" w:hAnsi="Arial Nova Cond Light" w:cs="Tahoma"/>
          <w:caps/>
          <w:sz w:val="48"/>
          <w:szCs w:val="48"/>
        </w:rPr>
      </w:pPr>
      <w:r w:rsidRPr="001D212D">
        <w:rPr>
          <w:rFonts w:ascii="Arial Nova Cond Light" w:hAnsi="Arial Nova Cond Light" w:cs="Tahoma"/>
          <w:caps/>
          <w:sz w:val="48"/>
          <w:szCs w:val="48"/>
        </w:rPr>
        <w:t>Vysoká škola ekonomická</w:t>
      </w:r>
    </w:p>
    <w:p w:rsidR="001D212D" w:rsidRPr="001D212D" w:rsidRDefault="001D212D" w:rsidP="001D212D">
      <w:pPr>
        <w:jc w:val="center"/>
        <w:rPr>
          <w:rFonts w:ascii="Arial Nova Cond Light" w:hAnsi="Arial Nova Cond Light"/>
          <w:sz w:val="44"/>
          <w:szCs w:val="44"/>
        </w:rPr>
      </w:pPr>
      <w:r w:rsidRPr="001D212D">
        <w:rPr>
          <w:rFonts w:ascii="Arial Nova Cond Light" w:hAnsi="Arial Nova Cond Light"/>
          <w:sz w:val="44"/>
          <w:szCs w:val="44"/>
        </w:rPr>
        <w:t>Fakulta podnikohospodářská</w:t>
      </w:r>
    </w:p>
    <w:p w:rsidR="001D212D" w:rsidRDefault="001D212D" w:rsidP="001D212D">
      <w:pPr>
        <w:rPr>
          <w:rFonts w:cs="Tahoma"/>
          <w:lang w:val="de-DE"/>
        </w:rPr>
      </w:pPr>
    </w:p>
    <w:p w:rsidR="001D212D" w:rsidRDefault="001D212D" w:rsidP="001D212D">
      <w:pPr>
        <w:jc w:val="center"/>
        <w:rPr>
          <w:rFonts w:cs="Tahoma"/>
        </w:rPr>
      </w:pPr>
      <w:r>
        <w:rPr>
          <w:noProof/>
          <w:lang w:eastAsia="cs-CZ"/>
        </w:rPr>
        <w:drawing>
          <wp:inline distT="0" distB="0" distL="0" distR="0" wp14:anchorId="23BC9EED" wp14:editId="1629A96A">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12" cy="2213720"/>
                    </a:xfrm>
                    <a:prstGeom prst="rect">
                      <a:avLst/>
                    </a:prstGeom>
                    <a:noFill/>
                    <a:ln>
                      <a:noFill/>
                    </a:ln>
                  </pic:spPr>
                </pic:pic>
              </a:graphicData>
            </a:graphic>
          </wp:inline>
        </w:drawing>
      </w:r>
    </w:p>
    <w:p w:rsidR="001D212D" w:rsidRDefault="001D212D" w:rsidP="001D212D">
      <w:pPr>
        <w:jc w:val="center"/>
        <w:rPr>
          <w:sz w:val="40"/>
          <w:szCs w:val="40"/>
        </w:rPr>
      </w:pPr>
    </w:p>
    <w:p w:rsidR="0092584C" w:rsidRDefault="0092584C" w:rsidP="0092584C">
      <w:pPr>
        <w:jc w:val="center"/>
        <w:rPr>
          <w:rFonts w:ascii="Arial Nova Cond Light" w:hAnsi="Arial Nova Cond Light"/>
          <w:sz w:val="32"/>
          <w:szCs w:val="32"/>
        </w:rPr>
      </w:pPr>
    </w:p>
    <w:p w:rsidR="0092584C" w:rsidRPr="0092584C" w:rsidRDefault="0092584C" w:rsidP="0092584C">
      <w:pPr>
        <w:jc w:val="center"/>
        <w:rPr>
          <w:rFonts w:ascii="Arial Nova Cond Light" w:hAnsi="Arial Nova Cond Light"/>
          <w:sz w:val="32"/>
          <w:szCs w:val="32"/>
        </w:rPr>
      </w:pPr>
      <w:r w:rsidRPr="0092584C">
        <w:rPr>
          <w:rFonts w:ascii="Arial Nova Cond Light" w:hAnsi="Arial Nova Cond Light"/>
          <w:sz w:val="32"/>
          <w:szCs w:val="32"/>
        </w:rPr>
        <w:t>Výzkumný projekt TAČR TL02000467</w:t>
      </w:r>
    </w:p>
    <w:p w:rsidR="001D212D" w:rsidRDefault="00D80DA7" w:rsidP="0092584C">
      <w:pPr>
        <w:jc w:val="center"/>
        <w:rPr>
          <w:rFonts w:ascii="Arial Nova Cond Light" w:hAnsi="Arial Nova Cond Light"/>
          <w:sz w:val="24"/>
          <w:szCs w:val="24"/>
        </w:rPr>
      </w:pPr>
      <w:r w:rsidRPr="0092584C">
        <w:rPr>
          <w:rFonts w:ascii="Arial Nova Cond Light" w:hAnsi="Arial Nova Cond Light"/>
          <w:sz w:val="24"/>
          <w:szCs w:val="24"/>
        </w:rPr>
        <w:t>Vývoj preventivních předinsolvečních a insolvenčních restrukturalizací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podniků ve finančních obtížích, možnosti zvýšení využívání a úspěšnosti</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těchto postupů pomocí stanovení systému včasného varování a</w:t>
      </w:r>
      <w:r w:rsidR="0092584C">
        <w:rPr>
          <w:rFonts w:ascii="Arial Nova Cond Light" w:hAnsi="Arial Nova Cond Light"/>
          <w:sz w:val="24"/>
          <w:szCs w:val="24"/>
        </w:rPr>
        <w:t> </w:t>
      </w:r>
      <w:r w:rsidRPr="0092584C">
        <w:rPr>
          <w:rFonts w:ascii="Arial Nova Cond Light" w:hAnsi="Arial Nova Cond Light"/>
          <w:sz w:val="24"/>
          <w:szCs w:val="24"/>
        </w:rPr>
        <w:t>stanovení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postupů pro preventivní restrukturalizace</w:t>
      </w:r>
    </w:p>
    <w:p w:rsidR="00B71C34" w:rsidRDefault="00B71C34" w:rsidP="0092584C">
      <w:pPr>
        <w:jc w:val="center"/>
        <w:rPr>
          <w:rFonts w:ascii="Arial Nova Cond Light" w:hAnsi="Arial Nova Cond Light"/>
          <w:sz w:val="24"/>
          <w:szCs w:val="24"/>
        </w:rPr>
      </w:pPr>
    </w:p>
    <w:p w:rsidR="00B71C34" w:rsidRDefault="00B71C34" w:rsidP="0092584C">
      <w:pPr>
        <w:jc w:val="center"/>
        <w:rPr>
          <w:rFonts w:ascii="Arial Nova Cond Light" w:hAnsi="Arial Nova Cond Light"/>
          <w:sz w:val="24"/>
          <w:szCs w:val="24"/>
        </w:rPr>
      </w:pPr>
    </w:p>
    <w:p w:rsidR="00B71C34" w:rsidRDefault="00B71C34" w:rsidP="0092584C">
      <w:pPr>
        <w:jc w:val="center"/>
        <w:rPr>
          <w:rFonts w:ascii="Arial Nova Cond Light" w:hAnsi="Arial Nova Cond Light"/>
          <w:sz w:val="24"/>
          <w:szCs w:val="24"/>
        </w:rPr>
      </w:pPr>
    </w:p>
    <w:p w:rsidR="00B71C34" w:rsidRDefault="006D6DBA" w:rsidP="00B71C34">
      <w:pPr>
        <w:jc w:val="center"/>
        <w:rPr>
          <w:rFonts w:ascii="Arial Nova Cond Light" w:hAnsi="Arial Nova Cond Light"/>
          <w:b/>
          <w:sz w:val="32"/>
          <w:szCs w:val="32"/>
        </w:rPr>
      </w:pPr>
      <w:r w:rsidRPr="006D6DBA">
        <w:rPr>
          <w:rFonts w:ascii="Arial Nova Cond Light" w:hAnsi="Arial Nova Cond Light"/>
          <w:b/>
          <w:sz w:val="32"/>
          <w:szCs w:val="32"/>
        </w:rPr>
        <w:t>Kolokvium na téma finančních charakteristik podniků</w:t>
      </w:r>
    </w:p>
    <w:p w:rsidR="00B71C34" w:rsidRPr="006D6DBA" w:rsidRDefault="006D6DBA" w:rsidP="006D6DBA">
      <w:pPr>
        <w:autoSpaceDE w:val="0"/>
        <w:autoSpaceDN w:val="0"/>
        <w:adjustRightInd w:val="0"/>
        <w:spacing w:after="0" w:line="240" w:lineRule="auto"/>
        <w:jc w:val="center"/>
        <w:rPr>
          <w:rFonts w:ascii="Arial Nova Cond Light" w:hAnsi="Arial Nova Cond Light"/>
          <w:sz w:val="24"/>
          <w:szCs w:val="24"/>
        </w:rPr>
      </w:pPr>
      <w:r w:rsidRPr="006D6DBA">
        <w:rPr>
          <w:rFonts w:ascii="Arial Nova Cond Light" w:hAnsi="Arial Nova Cond Light"/>
          <w:sz w:val="24"/>
          <w:szCs w:val="24"/>
        </w:rPr>
        <w:t>Odborná diskuse výsledků statistického výzkumu týkajícího se finančních charakteristik podniků, jejichž krize byla řešena</w:t>
      </w:r>
      <w:r>
        <w:rPr>
          <w:rFonts w:ascii="Arial Nova Cond Light" w:hAnsi="Arial Nova Cond Light"/>
          <w:sz w:val="24"/>
          <w:szCs w:val="24"/>
        </w:rPr>
        <w:t xml:space="preserve"> </w:t>
      </w:r>
      <w:r w:rsidRPr="006D6DBA">
        <w:rPr>
          <w:rFonts w:ascii="Arial Nova Cond Light" w:hAnsi="Arial Nova Cond Light"/>
          <w:sz w:val="24"/>
          <w:szCs w:val="24"/>
        </w:rPr>
        <w:t>insolvenčním řízením.</w:t>
      </w:r>
    </w:p>
    <w:p w:rsidR="0092584C" w:rsidRDefault="0092584C" w:rsidP="006E3011">
      <w:pPr>
        <w:rPr>
          <w:rFonts w:ascii="Arial Nova Cond Light" w:hAnsi="Arial Nova Cond Light"/>
          <w:b/>
          <w:sz w:val="24"/>
          <w:szCs w:val="24"/>
          <w:u w:val="single"/>
        </w:rPr>
      </w:pPr>
      <w:r>
        <w:rPr>
          <w:rFonts w:ascii="Arial Nova Cond Light" w:hAnsi="Arial Nova Cond Light"/>
          <w:b/>
          <w:sz w:val="24"/>
          <w:szCs w:val="24"/>
          <w:u w:val="single"/>
        </w:rPr>
        <w:br w:type="page"/>
      </w:r>
    </w:p>
    <w:p w:rsidR="005343D3" w:rsidRDefault="005343D3" w:rsidP="005343D3">
      <w:pPr>
        <w:jc w:val="both"/>
        <w:rPr>
          <w:rFonts w:ascii="Arial Nova Cond Light" w:hAnsi="Arial Nova Cond Light"/>
          <w:sz w:val="24"/>
          <w:szCs w:val="24"/>
        </w:rPr>
      </w:pPr>
      <w:r w:rsidRPr="005343D3">
        <w:rPr>
          <w:rFonts w:ascii="Arial Nova Cond Light" w:hAnsi="Arial Nova Cond Light"/>
          <w:sz w:val="24"/>
          <w:szCs w:val="24"/>
        </w:rPr>
        <w:lastRenderedPageBreak/>
        <w:t>Kolo</w:t>
      </w:r>
      <w:r>
        <w:rPr>
          <w:rFonts w:ascii="Arial Nova Cond Light" w:hAnsi="Arial Nova Cond Light"/>
          <w:sz w:val="24"/>
          <w:szCs w:val="24"/>
        </w:rPr>
        <w:t xml:space="preserve">kvium představuje milník v rámci výzkumného projektu </w:t>
      </w:r>
      <w:r w:rsidRPr="005343D3">
        <w:rPr>
          <w:rFonts w:ascii="Arial Nova Cond Light" w:hAnsi="Arial Nova Cond Light"/>
          <w:sz w:val="24"/>
          <w:szCs w:val="24"/>
        </w:rPr>
        <w:t>TAČR TL02000467</w:t>
      </w:r>
      <w:r>
        <w:rPr>
          <w:rFonts w:ascii="Arial Nova Cond Light" w:hAnsi="Arial Nova Cond Light"/>
          <w:sz w:val="24"/>
          <w:szCs w:val="24"/>
        </w:rPr>
        <w:t xml:space="preserve"> v období 4/2019. Cílem kolokvia je odborná diskuse na téma finančních charakteristik podniků, jejichž krize dospěla až do úpadku. Finanční charakteristiky jsou analyzován</w:t>
      </w:r>
      <w:r w:rsidR="007C45E1">
        <w:rPr>
          <w:rFonts w:ascii="Arial Nova Cond Light" w:hAnsi="Arial Nova Cond Light"/>
          <w:sz w:val="24"/>
          <w:szCs w:val="24"/>
        </w:rPr>
        <w:t>y</w:t>
      </w:r>
      <w:r>
        <w:rPr>
          <w:rFonts w:ascii="Arial Nova Cond Light" w:hAnsi="Arial Nova Cond Light"/>
          <w:sz w:val="24"/>
          <w:szCs w:val="24"/>
        </w:rPr>
        <w:t xml:space="preserve"> </w:t>
      </w:r>
      <w:r w:rsidR="007C45E1">
        <w:rPr>
          <w:rFonts w:ascii="Arial Nova Cond Light" w:hAnsi="Arial Nova Cond Light"/>
          <w:sz w:val="24"/>
          <w:szCs w:val="24"/>
        </w:rPr>
        <w:t>z</w:t>
      </w:r>
      <w:r>
        <w:rPr>
          <w:rFonts w:ascii="Arial Nova Cond Light" w:hAnsi="Arial Nova Cond Light"/>
          <w:sz w:val="24"/>
          <w:szCs w:val="24"/>
        </w:rPr>
        <w:t>a období jednoho, dvou a tří let před zjištěním úpadku. Diskuse je v rámci výše uvedeného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w:t>
      </w:r>
    </w:p>
    <w:p w:rsidR="009E0022" w:rsidRDefault="009E0022" w:rsidP="009E0022">
      <w:pPr>
        <w:pStyle w:val="Nadpis1"/>
      </w:pPr>
      <w:r>
        <w:t>Data a metodika</w:t>
      </w:r>
    </w:p>
    <w:p w:rsidR="00B74CAA" w:rsidRDefault="00B74CAA" w:rsidP="005343D3">
      <w:pPr>
        <w:jc w:val="both"/>
        <w:rPr>
          <w:rFonts w:ascii="Arial Nova Cond Light" w:hAnsi="Arial Nova Cond Light"/>
          <w:sz w:val="24"/>
          <w:szCs w:val="24"/>
        </w:rPr>
      </w:pPr>
      <w:r>
        <w:rPr>
          <w:rFonts w:ascii="Arial Nova Cond Light" w:hAnsi="Arial Nova Cond Light"/>
          <w:sz w:val="24"/>
          <w:szCs w:val="24"/>
        </w:rPr>
        <w:t xml:space="preserve">Finanční charakteristiky jsou zkoumány na souboru </w:t>
      </w:r>
      <w:r w:rsidR="006F3646">
        <w:rPr>
          <w:rFonts w:ascii="Arial Nova Cond Light" w:hAnsi="Arial Nova Cond Light"/>
          <w:sz w:val="24"/>
          <w:szCs w:val="24"/>
        </w:rPr>
        <w:t>celkem 2</w:t>
      </w:r>
      <w:r w:rsidR="001F0BD8" w:rsidRPr="001F0BD8">
        <w:rPr>
          <w:rFonts w:ascii="Arial Nova Cond Light" w:hAnsi="Arial Nova Cond Light"/>
          <w:sz w:val="24"/>
          <w:szCs w:val="24"/>
        </w:rPr>
        <w:t> </w:t>
      </w:r>
      <w:r w:rsidR="006F3646">
        <w:rPr>
          <w:rFonts w:ascii="Arial Nova Cond Light" w:hAnsi="Arial Nova Cond Light"/>
          <w:sz w:val="24"/>
          <w:szCs w:val="24"/>
        </w:rPr>
        <w:t>282 finančních výkazů</w:t>
      </w:r>
      <w:r>
        <w:rPr>
          <w:rFonts w:ascii="Arial Nova Cond Light" w:hAnsi="Arial Nova Cond Light"/>
          <w:sz w:val="24"/>
          <w:szCs w:val="24"/>
        </w:rPr>
        <w:t xml:space="preserve"> podniků, které v letech 2009 až 2018 skončily v úpadku, a u kterých jsou dostupné finanční údaje (zejména za období jednoho roku před úpadkem).</w:t>
      </w:r>
      <w:r w:rsidR="006F3646">
        <w:rPr>
          <w:rFonts w:ascii="Arial Nova Cond Light" w:hAnsi="Arial Nova Cond Light"/>
          <w:sz w:val="24"/>
          <w:szCs w:val="24"/>
        </w:rPr>
        <w:t xml:space="preserve"> Strukturu datového souboru prezentuje následující tabulka.</w:t>
      </w:r>
    </w:p>
    <w:p w:rsidR="006F3646" w:rsidRDefault="006F3646" w:rsidP="005343D3">
      <w:pPr>
        <w:jc w:val="both"/>
        <w:rPr>
          <w:rFonts w:ascii="Arial Nova Cond Light" w:hAnsi="Arial Nova Cond Light"/>
          <w:sz w:val="24"/>
          <w:szCs w:val="24"/>
        </w:rPr>
      </w:pPr>
    </w:p>
    <w:tbl>
      <w:tblPr>
        <w:tblW w:w="9015" w:type="dxa"/>
        <w:tblCellMar>
          <w:left w:w="70" w:type="dxa"/>
          <w:right w:w="70" w:type="dxa"/>
        </w:tblCellMar>
        <w:tblLook w:val="04A0" w:firstRow="1" w:lastRow="0" w:firstColumn="1" w:lastColumn="0" w:noHBand="0" w:noVBand="1"/>
      </w:tblPr>
      <w:tblGrid>
        <w:gridCol w:w="3829"/>
        <w:gridCol w:w="5186"/>
      </w:tblGrid>
      <w:tr w:rsidR="006F3646" w:rsidRPr="006F3646" w:rsidTr="006F3646">
        <w:trPr>
          <w:trHeight w:val="255"/>
        </w:trPr>
        <w:tc>
          <w:tcPr>
            <w:tcW w:w="3829" w:type="dxa"/>
            <w:tcBorders>
              <w:top w:val="single" w:sz="4" w:space="0" w:color="808080"/>
              <w:left w:val="nil"/>
              <w:bottom w:val="single" w:sz="4" w:space="0" w:color="808080"/>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b/>
                <w:bCs/>
                <w:color w:val="000000"/>
                <w:lang w:eastAsia="cs-CZ"/>
              </w:rPr>
            </w:pPr>
            <w:r>
              <w:rPr>
                <w:rFonts w:ascii="Arial Nova Cond Light" w:eastAsia="Times New Roman" w:hAnsi="Arial Nova Cond Light" w:cs="Calibri"/>
                <w:b/>
                <w:bCs/>
                <w:color w:val="000000"/>
                <w:lang w:eastAsia="cs-CZ"/>
              </w:rPr>
              <w:t>Období před úpadkem</w:t>
            </w:r>
          </w:p>
        </w:tc>
        <w:tc>
          <w:tcPr>
            <w:tcW w:w="5186" w:type="dxa"/>
            <w:tcBorders>
              <w:top w:val="single" w:sz="4" w:space="0" w:color="808080"/>
              <w:left w:val="nil"/>
              <w:bottom w:val="single" w:sz="4" w:space="0" w:color="808080"/>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b/>
                <w:bCs/>
                <w:color w:val="000000"/>
                <w:lang w:eastAsia="cs-CZ"/>
              </w:rPr>
            </w:pPr>
            <w:r>
              <w:rPr>
                <w:rFonts w:ascii="Arial Nova Cond Light" w:eastAsia="Times New Roman" w:hAnsi="Arial Nova Cond Light" w:cs="Calibri"/>
                <w:b/>
                <w:bCs/>
                <w:color w:val="000000"/>
                <w:lang w:eastAsia="cs-CZ"/>
              </w:rPr>
              <w:t>Počet finančních výkazů / podniků</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1</w:t>
            </w:r>
            <w:r>
              <w:rPr>
                <w:rFonts w:ascii="Arial Nova Cond Light" w:eastAsia="Times New Roman" w:hAnsi="Arial Nova Cond Light" w:cs="Calibri"/>
                <w:color w:val="000000"/>
                <w:lang w:eastAsia="cs-CZ"/>
              </w:rPr>
              <w:t xml:space="preserve"> rok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827</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2</w:t>
            </w:r>
            <w:r>
              <w:rPr>
                <w:rFonts w:ascii="Arial Nova Cond Light" w:eastAsia="Times New Roman" w:hAnsi="Arial Nova Cond Light" w:cs="Calibri"/>
                <w:color w:val="000000"/>
                <w:lang w:eastAsia="cs-CZ"/>
              </w:rPr>
              <w:t xml:space="preserve">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759</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3</w:t>
            </w:r>
            <w:r>
              <w:rPr>
                <w:rFonts w:ascii="Arial Nova Cond Light" w:eastAsia="Times New Roman" w:hAnsi="Arial Nova Cond Light" w:cs="Calibri"/>
                <w:color w:val="000000"/>
                <w:lang w:eastAsia="cs-CZ"/>
              </w:rPr>
              <w:t xml:space="preserve">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696</w:t>
            </w:r>
          </w:p>
        </w:tc>
      </w:tr>
      <w:tr w:rsidR="006F3646" w:rsidRPr="006F3646" w:rsidTr="006F3646">
        <w:trPr>
          <w:trHeight w:val="255"/>
        </w:trPr>
        <w:tc>
          <w:tcPr>
            <w:tcW w:w="3829" w:type="dxa"/>
            <w:tcBorders>
              <w:top w:val="single" w:sz="4" w:space="0" w:color="808080"/>
              <w:left w:val="nil"/>
              <w:bottom w:val="single" w:sz="4" w:space="0" w:color="808080"/>
              <w:right w:val="nil"/>
            </w:tcBorders>
            <w:shd w:val="clear" w:color="FFFFFF" w:fill="FFFFFF"/>
            <w:noWrap/>
            <w:vAlign w:val="bottom"/>
            <w:hideMark/>
          </w:tcPr>
          <w:p w:rsidR="006F3646" w:rsidRPr="006F3646" w:rsidRDefault="006F3646" w:rsidP="006F3646">
            <w:pPr>
              <w:spacing w:after="0" w:line="240" w:lineRule="auto"/>
              <w:rPr>
                <w:rFonts w:ascii="Arial Nova Cond Light" w:eastAsia="Times New Roman" w:hAnsi="Arial Nova Cond Light" w:cs="Calibri"/>
                <w:b/>
                <w:bCs/>
                <w:color w:val="000000"/>
                <w:lang w:eastAsia="cs-CZ"/>
              </w:rPr>
            </w:pPr>
            <w:r w:rsidRPr="006F3646">
              <w:rPr>
                <w:rFonts w:ascii="Arial Nova Cond Light" w:eastAsia="Times New Roman" w:hAnsi="Arial Nova Cond Light" w:cs="Calibri"/>
                <w:b/>
                <w:bCs/>
                <w:color w:val="000000"/>
                <w:lang w:eastAsia="cs-CZ"/>
              </w:rPr>
              <w:t>Celkový součet</w:t>
            </w:r>
          </w:p>
        </w:tc>
        <w:tc>
          <w:tcPr>
            <w:tcW w:w="5186" w:type="dxa"/>
            <w:tcBorders>
              <w:top w:val="single" w:sz="4" w:space="0" w:color="808080"/>
              <w:left w:val="nil"/>
              <w:bottom w:val="single" w:sz="4" w:space="0" w:color="808080"/>
              <w:right w:val="nil"/>
            </w:tcBorders>
            <w:shd w:val="clear" w:color="FFFFFF" w:fill="FFFFFF"/>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b/>
                <w:bCs/>
                <w:color w:val="000000"/>
                <w:lang w:eastAsia="cs-CZ"/>
              </w:rPr>
            </w:pPr>
            <w:r w:rsidRPr="006F3646">
              <w:rPr>
                <w:rFonts w:ascii="Arial Nova Cond Light" w:eastAsia="Times New Roman" w:hAnsi="Arial Nova Cond Light" w:cs="Calibri"/>
                <w:b/>
                <w:bCs/>
                <w:color w:val="000000"/>
                <w:lang w:eastAsia="cs-CZ"/>
              </w:rPr>
              <w:t>2</w:t>
            </w:r>
            <w:r w:rsidR="001F0BD8">
              <w:rPr>
                <w:rFonts w:ascii="Arial Nova Cond Light" w:eastAsia="Times New Roman" w:hAnsi="Arial Nova Cond Light" w:cs="Calibri"/>
                <w:b/>
                <w:bCs/>
                <w:color w:val="000000"/>
                <w:lang w:eastAsia="cs-CZ"/>
              </w:rPr>
              <w:t xml:space="preserve"> </w:t>
            </w:r>
            <w:r w:rsidRPr="006F3646">
              <w:rPr>
                <w:rFonts w:ascii="Arial Nova Cond Light" w:eastAsia="Times New Roman" w:hAnsi="Arial Nova Cond Light" w:cs="Calibri"/>
                <w:b/>
                <w:bCs/>
                <w:color w:val="000000"/>
                <w:lang w:eastAsia="cs-CZ"/>
              </w:rPr>
              <w:t>282</w:t>
            </w:r>
          </w:p>
        </w:tc>
      </w:tr>
    </w:tbl>
    <w:p w:rsidR="006F3646" w:rsidRDefault="006F3646" w:rsidP="005343D3">
      <w:pPr>
        <w:jc w:val="both"/>
        <w:rPr>
          <w:rFonts w:ascii="Arial Nova Cond Light" w:hAnsi="Arial Nova Cond Light"/>
          <w:sz w:val="24"/>
          <w:szCs w:val="24"/>
        </w:rPr>
      </w:pPr>
    </w:p>
    <w:p w:rsidR="005343D3" w:rsidRDefault="001F0BD8" w:rsidP="005343D3">
      <w:pPr>
        <w:jc w:val="both"/>
        <w:rPr>
          <w:rFonts w:ascii="Arial Nova Cond Light" w:hAnsi="Arial Nova Cond Light"/>
          <w:sz w:val="24"/>
          <w:szCs w:val="24"/>
        </w:rPr>
      </w:pPr>
      <w:r>
        <w:rPr>
          <w:rFonts w:ascii="Arial Nova Cond Light" w:hAnsi="Arial Nova Cond Light"/>
          <w:sz w:val="24"/>
          <w:szCs w:val="24"/>
        </w:rPr>
        <w:t>Na datovém souboru byly analyzovány následující finanční charakteristiky.</w:t>
      </w:r>
    </w:p>
    <w:p w:rsidR="001F0BD8" w:rsidRDefault="001F0BD8" w:rsidP="005343D3">
      <w:pPr>
        <w:jc w:val="both"/>
        <w:rPr>
          <w:rFonts w:ascii="Arial Nova Cond Light" w:hAnsi="Arial Nova Cond Light"/>
          <w:sz w:val="24"/>
          <w:szCs w:val="24"/>
        </w:rPr>
      </w:pPr>
      <w:r w:rsidRPr="001541AA">
        <w:rPr>
          <w:rFonts w:ascii="Arial Nova Cond Light" w:hAnsi="Arial Nova Cond Light"/>
          <w:b/>
          <w:sz w:val="24"/>
          <w:szCs w:val="24"/>
        </w:rPr>
        <w:t>Poměrové ukazatele</w:t>
      </w:r>
      <w:r>
        <w:rPr>
          <w:rFonts w:ascii="Arial Nova Cond Light" w:hAnsi="Arial Nova Cond Light"/>
          <w:sz w:val="24"/>
          <w:szCs w:val="24"/>
        </w:rPr>
        <w:t>, u kterých byly analyzovány jejich průměr, 5% redukovaný průměr a medián, a za období jednoho, dvou a tří let před zjištěním úpadku. Byly zvoleny následující poměrové ukazatele.</w:t>
      </w:r>
    </w:p>
    <w:p w:rsidR="001F0BD8" w:rsidRDefault="001F0BD8" w:rsidP="005343D3">
      <w:pPr>
        <w:jc w:val="both"/>
        <w:rPr>
          <w:rFonts w:ascii="Arial Nova Cond Light" w:hAnsi="Arial Nova Cond Light"/>
          <w:sz w:val="24"/>
          <w:szCs w:val="24"/>
        </w:rPr>
      </w:pPr>
      <w:r>
        <w:rPr>
          <w:rFonts w:ascii="Arial Nova Cond Light" w:hAnsi="Arial Nova Cond Light"/>
          <w:sz w:val="24"/>
          <w:szCs w:val="24"/>
        </w:rPr>
        <w:t>Marže z výkonů</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přidané hodnoty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primární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provozní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EBITDA</w:t>
      </w:r>
    </w:p>
    <w:p w:rsidR="001F0BD8" w:rsidRDefault="001F0BD8" w:rsidP="005343D3">
      <w:pPr>
        <w:jc w:val="both"/>
        <w:rPr>
          <w:rFonts w:ascii="Arial Nova Cond Light" w:hAnsi="Arial Nova Cond Light"/>
          <w:sz w:val="24"/>
          <w:szCs w:val="24"/>
        </w:rPr>
      </w:pPr>
      <w:r>
        <w:rPr>
          <w:rFonts w:ascii="Arial Nova Cond Light" w:hAnsi="Arial Nova Cond Light"/>
          <w:sz w:val="24"/>
          <w:szCs w:val="24"/>
        </w:rPr>
        <w:t>Ukazatele nákladovosti</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výkonové spotřeby na výkonech</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osobních nákladů na výkonech</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Ukazatele likvidity a pracovního kapitálu</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hotovosti na nutné hotovosti při 15% požadavku na úroveň ukazatele okamžité likvidity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hotovosti na nutné hotovosti při 20% požadavku na úroveň ukazatele okamžité likvidity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aktivních a pasivních primárních nepeněžních složek pracovního kapitálu</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aktivních a pasivních celkových nepeněžních složek pracovního kapitálu</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Ukazatele zadlužení</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lastRenderedPageBreak/>
        <w:t>Ukazatel celkové zadluženosti (podíl cizích zdrojů na aktivech)</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Ukazatel stupně krytí dlouhodobého majetku dlouhodobým kapitálem</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 investiční náročnosti (podíl dlouhodobého majetku na aktivech)</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Ukazatele rentability aktiv</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Rentabilita aktiv měřená úrovní primární EBITDA</w:t>
      </w:r>
    </w:p>
    <w:p w:rsidR="007E25AA" w:rsidRPr="007E25AA" w:rsidRDefault="007E25AA" w:rsidP="007E25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Rentabilita aktiv měřená úrovní primární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w:t>
      </w:r>
      <w:r w:rsidR="007E25AA">
        <w:rPr>
          <w:rFonts w:ascii="Arial Nova Cond Light" w:hAnsi="Arial Nova Cond Light"/>
          <w:sz w:val="24"/>
          <w:szCs w:val="24"/>
        </w:rPr>
        <w:t>lita aktiv měřená úrovní EBIT</w:t>
      </w:r>
    </w:p>
    <w:p w:rsidR="001541AA" w:rsidRDefault="001541AA" w:rsidP="001541AA">
      <w:pPr>
        <w:jc w:val="both"/>
        <w:rPr>
          <w:rFonts w:ascii="Arial Nova Cond Light" w:hAnsi="Arial Nova Cond Light"/>
          <w:sz w:val="24"/>
          <w:szCs w:val="24"/>
        </w:rPr>
      </w:pPr>
      <w:r>
        <w:rPr>
          <w:rFonts w:ascii="Arial Nova Cond Light" w:hAnsi="Arial Nova Cond Light"/>
          <w:sz w:val="24"/>
          <w:szCs w:val="24"/>
        </w:rPr>
        <w:t>Ukazatele doby obratu nepeněžních složek pracovního kapitálu</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zásob</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pohledávek</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závazků</w:t>
      </w:r>
    </w:p>
    <w:p w:rsidR="001541AA" w:rsidRDefault="001541AA" w:rsidP="001541AA">
      <w:pPr>
        <w:jc w:val="both"/>
        <w:rPr>
          <w:rFonts w:ascii="Arial Nova Cond Light" w:hAnsi="Arial Nova Cond Light"/>
          <w:sz w:val="24"/>
          <w:szCs w:val="24"/>
        </w:rPr>
      </w:pPr>
      <w:r w:rsidRPr="001541AA">
        <w:rPr>
          <w:rFonts w:ascii="Arial Nova Cond Light" w:hAnsi="Arial Nova Cond Light"/>
          <w:b/>
          <w:sz w:val="24"/>
          <w:szCs w:val="24"/>
        </w:rPr>
        <w:t>Syntetické ukazatele</w:t>
      </w:r>
      <w:r>
        <w:rPr>
          <w:rFonts w:ascii="Arial Nova Cond Light" w:hAnsi="Arial Nova Cond Light"/>
          <w:sz w:val="24"/>
          <w:szCs w:val="24"/>
        </w:rPr>
        <w:t>, u kterých byl rovněž analyzován jejich průměr, 5% redukovaný průměr a medián, a za období jednoho, dvou a tří let před zjištěním úpadku. Byly zvoleny následující syntetické ukazatele.</w:t>
      </w:r>
    </w:p>
    <w:p w:rsidR="001541AA" w:rsidRP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Kralickův Rychlý test</w:t>
      </w:r>
    </w:p>
    <w:p w:rsidR="001541AA" w:rsidRP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Altmanovo Z-skóre</w:t>
      </w:r>
    </w:p>
    <w:p w:rsidR="001541AA" w:rsidRP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Index IN05</w:t>
      </w:r>
      <w:r>
        <w:rPr>
          <w:rFonts w:ascii="Arial Nova Cond Light" w:hAnsi="Arial Nova Cond Light"/>
          <w:sz w:val="24"/>
          <w:szCs w:val="24"/>
        </w:rPr>
        <w:t xml:space="preserve"> (integrální bankrotní model českých podniků)</w:t>
      </w:r>
    </w:p>
    <w:p w:rsid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Index IN99</w:t>
      </w:r>
      <w:r>
        <w:rPr>
          <w:rFonts w:ascii="Arial Nova Cond Light" w:hAnsi="Arial Nova Cond Light"/>
          <w:sz w:val="24"/>
          <w:szCs w:val="24"/>
        </w:rPr>
        <w:t xml:space="preserve"> (model českých podniků analyzující zejména tvorbu hodnoty.</w:t>
      </w:r>
    </w:p>
    <w:p w:rsidR="00904EEA" w:rsidRDefault="00904EEA" w:rsidP="00904EEA">
      <w:pPr>
        <w:jc w:val="both"/>
        <w:rPr>
          <w:rFonts w:ascii="Arial Nova Cond Light" w:hAnsi="Arial Nova Cond Light"/>
          <w:sz w:val="24"/>
          <w:szCs w:val="24"/>
        </w:rPr>
      </w:pPr>
      <w:r w:rsidRPr="00904EEA">
        <w:rPr>
          <w:rFonts w:ascii="Arial Nova Cond Light" w:hAnsi="Arial Nova Cond Light"/>
          <w:b/>
          <w:sz w:val="24"/>
          <w:szCs w:val="24"/>
        </w:rPr>
        <w:t>Polarity vybraných ukazatelů</w:t>
      </w:r>
      <w:r>
        <w:rPr>
          <w:rFonts w:ascii="Arial Nova Cond Light" w:hAnsi="Arial Nova Cond Light"/>
          <w:sz w:val="24"/>
          <w:szCs w:val="24"/>
        </w:rPr>
        <w:t>, které charakterizují, zda podnik dosahuje kladné či záporné úrovně daného ukazatele, což zvyšuje jeho jednoznačnost. U polarit byly analyzovány relativní četnosti výskytu kladné a záporné hodnoty v období jednoho, dvou a tří let před zjištění úpadku. Byly zvoleny následující polarity vybraných ukazatelů.</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úrovní tvorby zisku</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přidané hodnoty</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primární EBITDA</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provozní EBITDA</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celkové EBITDA</w:t>
      </w:r>
    </w:p>
    <w:p w:rsidR="00904EEA" w:rsidRP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EBIT</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ukazatelů likvidity a pracovního kapitálu</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Deficit nutné hotovosti při 15% požadavku na úroveň ukazatele okamžité likvidity</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Deficit nutné hotovosti při 20% požadavku na úroveň ukazatele okamžité likvidity</w:t>
      </w:r>
    </w:p>
    <w:p w:rsidR="00904EEA" w:rsidRDefault="00904EEA" w:rsidP="006E3011">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salda (rozdílu) aktivních a pasivních primárních nepeněžních složek pracovního kapitálu</w:t>
      </w:r>
    </w:p>
    <w:p w:rsidR="005343D3" w:rsidRDefault="00904EEA" w:rsidP="006E3011">
      <w:pPr>
        <w:pStyle w:val="Odstavecseseznamem"/>
        <w:numPr>
          <w:ilvl w:val="0"/>
          <w:numId w:val="4"/>
        </w:numPr>
        <w:jc w:val="both"/>
        <w:rPr>
          <w:rFonts w:ascii="Arial Nova Cond Light" w:hAnsi="Arial Nova Cond Light"/>
          <w:sz w:val="24"/>
          <w:szCs w:val="24"/>
        </w:rPr>
      </w:pPr>
      <w:r w:rsidRPr="00904EEA">
        <w:rPr>
          <w:rFonts w:ascii="Arial Nova Cond Light" w:hAnsi="Arial Nova Cond Light"/>
          <w:sz w:val="24"/>
          <w:szCs w:val="24"/>
        </w:rPr>
        <w:t xml:space="preserve">Polarita salda (rozdílu) aktivních a pasivních </w:t>
      </w:r>
      <w:r>
        <w:rPr>
          <w:rFonts w:ascii="Arial Nova Cond Light" w:hAnsi="Arial Nova Cond Light"/>
          <w:sz w:val="24"/>
          <w:szCs w:val="24"/>
        </w:rPr>
        <w:t>celkových</w:t>
      </w:r>
      <w:r w:rsidRPr="00904EEA">
        <w:rPr>
          <w:rFonts w:ascii="Arial Nova Cond Light" w:hAnsi="Arial Nova Cond Light"/>
          <w:sz w:val="24"/>
          <w:szCs w:val="24"/>
        </w:rPr>
        <w:t xml:space="preserve"> nepeněžních složek pracovního kapitálu</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vlastního kapitálu</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lastRenderedPageBreak/>
        <w:t>Polarita financování dlouhodobého majetku, tj. polarita rozdílu dlouhodobého kapitálu a dlouhodobého majetku</w:t>
      </w:r>
    </w:p>
    <w:p w:rsidR="0034767D" w:rsidRDefault="0034767D" w:rsidP="00904EEA">
      <w:pPr>
        <w:jc w:val="both"/>
        <w:rPr>
          <w:rFonts w:ascii="Arial Nova Cond Light" w:hAnsi="Arial Nova Cond Light"/>
          <w:sz w:val="24"/>
          <w:szCs w:val="24"/>
        </w:rPr>
      </w:pPr>
    </w:p>
    <w:p w:rsidR="0034767D" w:rsidRDefault="0034767D" w:rsidP="00904EEA">
      <w:pPr>
        <w:jc w:val="both"/>
        <w:rPr>
          <w:rFonts w:ascii="Arial Nova Cond Light" w:hAnsi="Arial Nova Cond Light"/>
          <w:sz w:val="24"/>
          <w:szCs w:val="24"/>
        </w:rPr>
      </w:pPr>
    </w:p>
    <w:p w:rsidR="0034767D" w:rsidRDefault="0034767D" w:rsidP="00904EEA">
      <w:pPr>
        <w:jc w:val="both"/>
        <w:rPr>
          <w:rFonts w:ascii="Arial Nova Cond Light" w:hAnsi="Arial Nova Cond Light"/>
          <w:sz w:val="24"/>
          <w:szCs w:val="24"/>
        </w:rPr>
      </w:pPr>
    </w:p>
    <w:p w:rsidR="00904EEA" w:rsidRDefault="009E0022" w:rsidP="009E0022">
      <w:pPr>
        <w:pStyle w:val="Nadpis1"/>
      </w:pPr>
      <w:r>
        <w:t>Výsledky analýzy</w:t>
      </w:r>
    </w:p>
    <w:p w:rsidR="00B329D3" w:rsidRPr="00B329D3" w:rsidRDefault="00B329D3" w:rsidP="006E3011">
      <w:pPr>
        <w:rPr>
          <w:rFonts w:ascii="Arial Nova Cond Light" w:hAnsi="Arial Nova Cond Light"/>
          <w:sz w:val="24"/>
          <w:szCs w:val="24"/>
        </w:rPr>
      </w:pPr>
    </w:p>
    <w:p w:rsidR="009B43E3" w:rsidRPr="009B43E3" w:rsidRDefault="009B43E3" w:rsidP="006E3011">
      <w:pPr>
        <w:rPr>
          <w:rFonts w:ascii="Arial Nova Cond Light" w:hAnsi="Arial Nova Cond Light"/>
          <w:b/>
          <w:sz w:val="24"/>
          <w:szCs w:val="24"/>
          <w:u w:val="single"/>
        </w:rPr>
      </w:pPr>
      <w:r w:rsidRPr="009B43E3">
        <w:rPr>
          <w:rFonts w:ascii="Arial Nova Cond Light" w:hAnsi="Arial Nova Cond Light"/>
          <w:b/>
          <w:sz w:val="24"/>
          <w:szCs w:val="24"/>
          <w:u w:val="single"/>
        </w:rPr>
        <w:t>Průměry a medián poměrových ukazatelů</w:t>
      </w:r>
    </w:p>
    <w:p w:rsidR="00B329D3" w:rsidRPr="00B329D3" w:rsidRDefault="00B329D3" w:rsidP="00B329D3">
      <w:pPr>
        <w:jc w:val="both"/>
        <w:rPr>
          <w:rFonts w:ascii="Arial Nova Cond Light" w:hAnsi="Arial Nova Cond Light"/>
          <w:sz w:val="24"/>
          <w:szCs w:val="24"/>
        </w:rPr>
      </w:pPr>
      <w:r>
        <w:rPr>
          <w:rFonts w:ascii="Arial Nova Cond Light" w:hAnsi="Arial Nova Cond Light"/>
          <w:sz w:val="24"/>
          <w:szCs w:val="24"/>
        </w:rPr>
        <w:t>V rámci analýzy průměrů a mediánu bylo zjištěno, že u všech ukazatel je významný rozdíl mezi průměrem na straně jedné a 5% redukovaným průměrem a mediánem na straně druhé. To nasvědčuje přítomnosti odlehlých a extrémních hodnot těchto ukazatelů.</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Marže</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přidané hodnoty z výkonů</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-0,73</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-29,33</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-1,19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0,20</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0,21</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0,16</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0,19</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primární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-2,00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-44,90</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sz w:val="18"/>
                <w:szCs w:val="18"/>
                <w:lang w:eastAsia="cs-CZ"/>
              </w:rPr>
            </w:pPr>
            <w:r w:rsidRPr="00F93571">
              <w:rPr>
                <w:rFonts w:ascii="Arial Nova Cond Light" w:eastAsia="Times New Roman" w:hAnsi="Arial Nova Cond Light" w:cs="Calibri"/>
                <w:b/>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sz w:val="18"/>
                <w:szCs w:val="18"/>
                <w:lang w:eastAsia="cs-CZ"/>
              </w:rPr>
            </w:pPr>
            <w:r w:rsidRPr="00F93571">
              <w:rPr>
                <w:rFonts w:ascii="Arial Nova Cond Light" w:eastAsia="Times New Roman" w:hAnsi="Arial Nova Cond Light" w:cs="Calibri"/>
                <w:b/>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provozní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3,68</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-71,57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1,80</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-0,35</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FF0000"/>
                <w:sz w:val="18"/>
                <w:szCs w:val="18"/>
                <w:lang w:eastAsia="cs-CZ"/>
              </w:rPr>
              <w:t>-0,06</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-0,15</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5,15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-88,16</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1,97</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-0,33</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-0,05</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-0,13</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0,01</w:t>
            </w:r>
          </w:p>
        </w:tc>
      </w:tr>
    </w:tbl>
    <w:p w:rsidR="00136B14" w:rsidRDefault="00136B14" w:rsidP="006E3011">
      <w:pPr>
        <w:rPr>
          <w:rFonts w:ascii="Arial Nova Cond Light" w:hAnsi="Arial Nova Cond Light"/>
          <w:b/>
          <w:sz w:val="24"/>
          <w:szCs w:val="24"/>
        </w:rPr>
      </w:pPr>
    </w:p>
    <w:p w:rsidR="00B329D3" w:rsidRPr="00B329D3" w:rsidRDefault="00B329D3" w:rsidP="00B329D3">
      <w:pPr>
        <w:jc w:val="both"/>
        <w:rPr>
          <w:rFonts w:ascii="Arial Nova Cond Light" w:hAnsi="Arial Nova Cond Light"/>
          <w:sz w:val="24"/>
          <w:szCs w:val="24"/>
        </w:rPr>
      </w:pPr>
      <w:r w:rsidRPr="00B329D3">
        <w:rPr>
          <w:rFonts w:ascii="Arial Nova Cond Light" w:hAnsi="Arial Nova Cond Light"/>
          <w:sz w:val="24"/>
          <w:szCs w:val="24"/>
        </w:rPr>
        <w:t>U všech</w:t>
      </w:r>
      <w:r>
        <w:rPr>
          <w:rFonts w:ascii="Arial Nova Cond Light" w:hAnsi="Arial Nova Cond Light"/>
          <w:sz w:val="24"/>
          <w:szCs w:val="24"/>
        </w:rPr>
        <w:t xml:space="preserve"> úrovní marže je vidět (logicky) zhoršující se trend s blížícím se rokem zjištění úpadku. Kromě marže přidané hodnoty jsou všechny ostatní úrovně provozní marže záporné, a to již tři roky před úpadkem (vyjma některých hodnot mediánu, které jsou 3 roky před úpadkem blízké nule</w:t>
      </w:r>
      <w:r w:rsidR="009B0A0A">
        <w:rPr>
          <w:rFonts w:ascii="Arial Nova Cond Light" w:hAnsi="Arial Nova Cond Light"/>
          <w:sz w:val="24"/>
          <w:szCs w:val="24"/>
        </w:rPr>
        <w:t>.</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Nákladovost</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výkonové spotřeby na výkonech</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1,73</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30,33</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0,84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0,81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osobních nákladů na výkonech</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1,27</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15,57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0,96</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0,33</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0,23</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0,22</w:t>
            </w:r>
          </w:p>
        </w:tc>
      </w:tr>
    </w:tbl>
    <w:p w:rsidR="00136B14" w:rsidRDefault="00136B14" w:rsidP="006E3011">
      <w:pPr>
        <w:rPr>
          <w:rFonts w:ascii="Arial Nova Cond Light" w:hAnsi="Arial Nova Cond Light"/>
          <w:b/>
          <w:sz w:val="24"/>
          <w:szCs w:val="24"/>
        </w:rPr>
      </w:pPr>
    </w:p>
    <w:p w:rsidR="009B0A0A" w:rsidRDefault="009B0A0A" w:rsidP="009B0A0A">
      <w:pPr>
        <w:jc w:val="both"/>
        <w:rPr>
          <w:rFonts w:ascii="Arial Nova Cond Light" w:hAnsi="Arial Nova Cond Light"/>
          <w:sz w:val="24"/>
          <w:szCs w:val="24"/>
        </w:rPr>
      </w:pPr>
      <w:r w:rsidRPr="009B0A0A">
        <w:rPr>
          <w:rFonts w:ascii="Arial Nova Cond Light" w:hAnsi="Arial Nova Cond Light"/>
          <w:sz w:val="24"/>
          <w:szCs w:val="24"/>
        </w:rPr>
        <w:t>S</w:t>
      </w:r>
      <w:r>
        <w:rPr>
          <w:rFonts w:ascii="Arial Nova Cond Light" w:hAnsi="Arial Nova Cond Light"/>
          <w:sz w:val="24"/>
          <w:szCs w:val="24"/>
        </w:rPr>
        <w:t> </w:t>
      </w:r>
      <w:r w:rsidRPr="009B0A0A">
        <w:rPr>
          <w:rFonts w:ascii="Arial Nova Cond Light" w:hAnsi="Arial Nova Cond Light"/>
          <w:sz w:val="24"/>
          <w:szCs w:val="24"/>
        </w:rPr>
        <w:t>vývojem</w:t>
      </w:r>
      <w:r>
        <w:rPr>
          <w:rFonts w:ascii="Arial Nova Cond Light" w:hAnsi="Arial Nova Cond Light"/>
          <w:sz w:val="24"/>
          <w:szCs w:val="24"/>
        </w:rPr>
        <w:t xml:space="preserve"> marží úzce souvisí nákladovost. Podíl výkonové spotřeby na výkonech vykazuje v posledním roce před úpadkem výrazné zvýšení, což by mohlo nasvědčovat tomu, že podniky s blížícím se úpadkem přestaly zvládat kontrolu fixních nákladů. Podíl osobních nákladů na výkonech před úpadkem rovněž vzrost, což (stejně jako v předchozím případě) nasvědčuje nepružnosti podniků ve vztahu k nákladům práce a vývoji jejich reálné situace.</w:t>
      </w:r>
    </w:p>
    <w:p w:rsidR="009B0A0A" w:rsidRDefault="009B0A0A" w:rsidP="009B0A0A">
      <w:pPr>
        <w:jc w:val="both"/>
        <w:rPr>
          <w:rFonts w:ascii="Arial Nova Cond Light" w:hAnsi="Arial Nova Cond Light"/>
          <w:sz w:val="24"/>
          <w:szCs w:val="24"/>
        </w:rPr>
      </w:pPr>
    </w:p>
    <w:p w:rsidR="009B0A0A" w:rsidRDefault="009B0A0A" w:rsidP="009B0A0A">
      <w:pPr>
        <w:jc w:val="both"/>
        <w:rPr>
          <w:rFonts w:ascii="Arial Nova Cond Light" w:hAnsi="Arial Nova Cond Light"/>
          <w:sz w:val="24"/>
          <w:szCs w:val="24"/>
        </w:rPr>
      </w:pPr>
    </w:p>
    <w:p w:rsidR="009B0A0A" w:rsidRPr="009B0A0A" w:rsidRDefault="009B0A0A" w:rsidP="009B0A0A">
      <w:pPr>
        <w:jc w:val="both"/>
        <w:rPr>
          <w:rFonts w:ascii="Arial Nova Cond Light" w:hAnsi="Arial Nova Cond Light"/>
          <w:sz w:val="24"/>
          <w:szCs w:val="24"/>
        </w:rPr>
      </w:pP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Likvidita a pracovní kapitál</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hotovosti na nutné hotovosti</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0,81</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1,67</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94,34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0,42</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0,73</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2,09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0,29</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1,04</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hotovosti nutné hotovosti (20 %)</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0,60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1,25</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1,57</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0,32</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0,55</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0,78</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0,27</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primárních NSPK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2,40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3,24</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2,48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1,18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1,29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0,68</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1,05</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NSPK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0,86</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1,45</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0,97</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1,06</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0,64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0,87</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0,98</w:t>
            </w:r>
          </w:p>
        </w:tc>
      </w:tr>
    </w:tbl>
    <w:p w:rsidR="00136B14" w:rsidRPr="00550B00" w:rsidRDefault="00136B14" w:rsidP="006E3011">
      <w:pPr>
        <w:rPr>
          <w:rFonts w:ascii="Arial Nova Cond Light" w:hAnsi="Arial Nova Cond Light"/>
          <w:b/>
          <w:sz w:val="24"/>
          <w:szCs w:val="24"/>
        </w:rPr>
      </w:pPr>
    </w:p>
    <w:p w:rsidR="009B43E3" w:rsidRPr="00ED1D7C" w:rsidRDefault="00ED1D7C" w:rsidP="00770AEC">
      <w:pPr>
        <w:jc w:val="both"/>
        <w:rPr>
          <w:rFonts w:ascii="Arial Nova Cond Light" w:hAnsi="Arial Nova Cond Light"/>
          <w:sz w:val="24"/>
          <w:szCs w:val="24"/>
        </w:rPr>
      </w:pPr>
      <w:r w:rsidRPr="00ED1D7C">
        <w:rPr>
          <w:rFonts w:ascii="Arial Nova Cond Light" w:hAnsi="Arial Nova Cond Light"/>
          <w:sz w:val="24"/>
          <w:szCs w:val="24"/>
        </w:rPr>
        <w:t>Pod</w:t>
      </w:r>
      <w:r>
        <w:rPr>
          <w:rFonts w:ascii="Arial Nova Cond Light" w:hAnsi="Arial Nova Cond Light"/>
          <w:sz w:val="24"/>
          <w:szCs w:val="24"/>
        </w:rPr>
        <w:t>íl hotovosti na nutné hotovosti (jako jiný pohled na ukazatel okamžité likvidity) je analyzován na dvou úrovních. Základní úroveň tvoří minimální požadavek na úroveň okamžité likvidity ve výši 15</w:t>
      </w:r>
      <w:r w:rsidR="00AA02EE">
        <w:rPr>
          <w:rFonts w:ascii="Arial Nova Cond Light" w:hAnsi="Arial Nova Cond Light"/>
          <w:sz w:val="24"/>
          <w:szCs w:val="24"/>
        </w:rPr>
        <w:t> </w:t>
      </w:r>
      <w:r>
        <w:rPr>
          <w:rFonts w:ascii="Arial Nova Cond Light" w:hAnsi="Arial Nova Cond Light"/>
          <w:sz w:val="24"/>
          <w:szCs w:val="24"/>
        </w:rPr>
        <w:t>%, druhou úroveň tvoří požadavek na tento ukazatel ve výši 20</w:t>
      </w:r>
      <w:r w:rsidR="00AA02EE">
        <w:rPr>
          <w:rFonts w:ascii="Arial Nova Cond Light" w:hAnsi="Arial Nova Cond Light"/>
          <w:sz w:val="24"/>
          <w:szCs w:val="24"/>
        </w:rPr>
        <w:t> </w:t>
      </w:r>
      <w:r>
        <w:rPr>
          <w:rFonts w:ascii="Arial Nova Cond Light" w:hAnsi="Arial Nova Cond Light"/>
          <w:sz w:val="24"/>
          <w:szCs w:val="24"/>
        </w:rPr>
        <w:t>%. U obou ukazatelů je patrné, že podniky s blížícím se úpadkem výrazně ztrácejí nutnou hotovost.</w:t>
      </w:r>
      <w:r w:rsidR="00AA02EE">
        <w:rPr>
          <w:rFonts w:ascii="Arial Nova Cond Light" w:hAnsi="Arial Nova Cond Light"/>
          <w:sz w:val="24"/>
          <w:szCs w:val="24"/>
        </w:rPr>
        <w:t xml:space="preserve"> Úrovně požadavku na ukazatel okamžité likvidity ve výši 20 % pak ani v průměru úpadkové podniky nedosahují ani tři roky před zjištěním úpadku.</w:t>
      </w:r>
      <w:r w:rsidR="00770AEC">
        <w:rPr>
          <w:rFonts w:ascii="Arial Nova Cond Light" w:hAnsi="Arial Nova Cond Light"/>
          <w:sz w:val="24"/>
          <w:szCs w:val="24"/>
        </w:rPr>
        <w:t xml:space="preserve"> Podíl aktivních a pasivních primárních NSPK je jeden rok před úpadkem v průměru menší než jedna, což znamená, že pasivní primární složky NSPK převyšují aktivní. U celkových NSPK je pak situace taková, že již dva roky před úpadkem v průměru pasivní NSPK převyšují aktivní. To nasvědčuje situaci, kdy na zhoršující se úroveň tohoto ukazatele mají vliv NSPK, které nesouvisí s primární obchodní (provozní) činností.</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Zadlužení</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3D6909">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3D6909">
        <w:trPr>
          <w:trHeight w:val="170"/>
        </w:trPr>
        <w:tc>
          <w:tcPr>
            <w:tcW w:w="3982"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Celková zadluženost</w:t>
            </w:r>
          </w:p>
        </w:tc>
        <w:tc>
          <w:tcPr>
            <w:tcW w:w="1655"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89"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4,49</w:t>
            </w:r>
          </w:p>
        </w:tc>
        <w:tc>
          <w:tcPr>
            <w:tcW w:w="1152"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1,45</w:t>
            </w:r>
          </w:p>
        </w:tc>
        <w:tc>
          <w:tcPr>
            <w:tcW w:w="1194"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1,26</w:t>
            </w:r>
          </w:p>
        </w:tc>
      </w:tr>
      <w:tr w:rsidR="003A7606" w:rsidRPr="003A7606" w:rsidTr="003D6909">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1,79</w:t>
            </w:r>
          </w:p>
        </w:tc>
        <w:tc>
          <w:tcPr>
            <w:tcW w:w="1152"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1,12</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0,96</w:t>
            </w:r>
          </w:p>
        </w:tc>
      </w:tr>
      <w:tr w:rsidR="003A7606" w:rsidRPr="003A7606" w:rsidTr="003D6909">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lastRenderedPageBreak/>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1,19</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0,96</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0,88</w:t>
            </w:r>
          </w:p>
        </w:tc>
      </w:tr>
    </w:tbl>
    <w:p w:rsidR="00136B14" w:rsidRDefault="00136B14" w:rsidP="006E3011">
      <w:pPr>
        <w:rPr>
          <w:rFonts w:ascii="Arial Nova Cond Light" w:hAnsi="Arial Nova Cond Light"/>
          <w:b/>
          <w:sz w:val="24"/>
          <w:szCs w:val="24"/>
        </w:rPr>
      </w:pPr>
    </w:p>
    <w:p w:rsidR="00770AEC" w:rsidRPr="00770AEC" w:rsidRDefault="00770AEC" w:rsidP="00770AEC">
      <w:pPr>
        <w:jc w:val="both"/>
        <w:rPr>
          <w:rFonts w:ascii="Arial Nova Cond Light" w:hAnsi="Arial Nova Cond Light"/>
          <w:sz w:val="24"/>
          <w:szCs w:val="24"/>
        </w:rPr>
      </w:pPr>
      <w:r w:rsidRPr="00770AEC">
        <w:rPr>
          <w:rFonts w:ascii="Arial Nova Cond Light" w:hAnsi="Arial Nova Cond Light"/>
          <w:sz w:val="24"/>
          <w:szCs w:val="24"/>
        </w:rPr>
        <w:t>Z</w:t>
      </w:r>
      <w:r>
        <w:rPr>
          <w:rFonts w:ascii="Arial Nova Cond Light" w:hAnsi="Arial Nova Cond Light"/>
          <w:sz w:val="24"/>
          <w:szCs w:val="24"/>
        </w:rPr>
        <w:t> </w:t>
      </w:r>
      <w:r w:rsidRPr="00770AEC">
        <w:rPr>
          <w:rFonts w:ascii="Arial Nova Cond Light" w:hAnsi="Arial Nova Cond Light"/>
          <w:sz w:val="24"/>
          <w:szCs w:val="24"/>
        </w:rPr>
        <w:t>h</w:t>
      </w:r>
      <w:r>
        <w:rPr>
          <w:rFonts w:ascii="Arial Nova Cond Light" w:hAnsi="Arial Nova Cond Light"/>
          <w:sz w:val="24"/>
          <w:szCs w:val="24"/>
        </w:rPr>
        <w:t>l</w:t>
      </w:r>
      <w:r w:rsidRPr="00770AEC">
        <w:rPr>
          <w:rFonts w:ascii="Arial Nova Cond Light" w:hAnsi="Arial Nova Cond Light"/>
          <w:sz w:val="24"/>
          <w:szCs w:val="24"/>
        </w:rPr>
        <w:t>ediska</w:t>
      </w:r>
      <w:r>
        <w:rPr>
          <w:rFonts w:ascii="Arial Nova Cond Light" w:hAnsi="Arial Nova Cond Light"/>
          <w:sz w:val="24"/>
          <w:szCs w:val="24"/>
        </w:rPr>
        <w:t xml:space="preserve"> zadlužení je vidět, že úpadkové podniky vykazovaly již tři toky před úpadkem téměř 100% zadlužení, které se dále s blížícím se úpadkem zhoršovalo.</w:t>
      </w:r>
    </w:p>
    <w:p w:rsidR="00136B14" w:rsidRPr="00550B00" w:rsidRDefault="00B97985" w:rsidP="006E3011">
      <w:pPr>
        <w:rPr>
          <w:rFonts w:ascii="Arial Nova Cond Light" w:hAnsi="Arial Nova Cond Light"/>
          <w:b/>
          <w:sz w:val="24"/>
          <w:szCs w:val="24"/>
        </w:rPr>
      </w:pPr>
      <w:r w:rsidRPr="00550B00">
        <w:rPr>
          <w:rFonts w:ascii="Arial Nova Cond Light" w:hAnsi="Arial Nova Cond Light"/>
          <w:b/>
          <w:sz w:val="24"/>
          <w:szCs w:val="24"/>
        </w:rPr>
        <w:t>Rentabilita</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(primární EBITDA)</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-0,41</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-0,14</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-0,20</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-0,11</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(EBITDA)</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-1,15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-0,09</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(EBIT)</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-1,65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-0,12</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-0,12</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-0,19</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-0,03</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bl>
    <w:p w:rsidR="00770AEC" w:rsidRPr="006C2EFF" w:rsidRDefault="006C2EFF" w:rsidP="006C2EFF">
      <w:pPr>
        <w:jc w:val="both"/>
        <w:rPr>
          <w:rFonts w:ascii="Arial Nova Cond Light" w:hAnsi="Arial Nova Cond Light"/>
          <w:sz w:val="24"/>
          <w:szCs w:val="24"/>
        </w:rPr>
      </w:pPr>
      <w:r w:rsidRPr="006C2EFF">
        <w:rPr>
          <w:rFonts w:ascii="Arial Nova Cond Light" w:hAnsi="Arial Nova Cond Light"/>
          <w:sz w:val="24"/>
          <w:szCs w:val="24"/>
        </w:rPr>
        <w:t>U rentability aktiv je patrné, že</w:t>
      </w:r>
      <w:r w:rsidR="0060169A">
        <w:rPr>
          <w:rFonts w:ascii="Arial Nova Cond Light" w:hAnsi="Arial Nova Cond Light"/>
          <w:sz w:val="24"/>
          <w:szCs w:val="24"/>
        </w:rPr>
        <w:t xml:space="preserve"> již tři roky před úpadkem byla záporná nebo nulová, a to na všech sledovaných úrovních.  </w:t>
      </w:r>
    </w:p>
    <w:p w:rsidR="00B97985" w:rsidRPr="00550B00" w:rsidRDefault="00B97985" w:rsidP="006E3011">
      <w:pPr>
        <w:rPr>
          <w:rFonts w:ascii="Arial Nova Cond Light" w:hAnsi="Arial Nova Cond Light"/>
          <w:b/>
          <w:sz w:val="24"/>
          <w:szCs w:val="24"/>
        </w:rPr>
      </w:pPr>
      <w:r w:rsidRPr="00550B00">
        <w:rPr>
          <w:rFonts w:ascii="Arial Nova Cond Light" w:hAnsi="Arial Nova Cond Light"/>
          <w:b/>
          <w:sz w:val="24"/>
          <w:szCs w:val="24"/>
        </w:rPr>
        <w:t>Doba obratu nepeněžních složek pracovního kapitálu</w:t>
      </w:r>
    </w:p>
    <w:tbl>
      <w:tblPr>
        <w:tblW w:w="9072" w:type="dxa"/>
        <w:tblCellMar>
          <w:left w:w="70" w:type="dxa"/>
          <w:right w:w="70" w:type="dxa"/>
        </w:tblCellMar>
        <w:tblLook w:val="04A0" w:firstRow="1" w:lastRow="0" w:firstColumn="1" w:lastColumn="0" w:noHBand="0" w:noVBand="1"/>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zásob</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174,64</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2190443,08</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25,18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39,91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256,01</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931,07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17,02</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45,81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47,16</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pohledávek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32297,61</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25038,59</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3794,86</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152,65</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101,36</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99,82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76,27</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71,60</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71,33</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závazků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Mean</w:t>
            </w:r>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54586,89</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71821,73</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5132,65</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465,07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233,49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194,04</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222,36</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158,40</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137,28</w:t>
            </w:r>
          </w:p>
        </w:tc>
      </w:tr>
    </w:tbl>
    <w:p w:rsidR="00B97985" w:rsidRPr="00550B00" w:rsidRDefault="00B97985" w:rsidP="006E3011">
      <w:pPr>
        <w:rPr>
          <w:rFonts w:ascii="Arial Nova Cond Light" w:hAnsi="Arial Nova Cond Light"/>
          <w:b/>
          <w:sz w:val="24"/>
          <w:szCs w:val="24"/>
        </w:rPr>
      </w:pPr>
    </w:p>
    <w:p w:rsidR="00847272" w:rsidRDefault="00847272" w:rsidP="006E3011">
      <w:pPr>
        <w:rPr>
          <w:rFonts w:ascii="Arial Nova Cond Light" w:hAnsi="Arial Nova Cond Light"/>
          <w:b/>
          <w:sz w:val="24"/>
          <w:szCs w:val="24"/>
        </w:rPr>
      </w:pPr>
      <w:r w:rsidRPr="00550B00">
        <w:rPr>
          <w:rFonts w:ascii="Arial Nova Cond Light" w:hAnsi="Arial Nova Cond Light"/>
          <w:b/>
          <w:sz w:val="24"/>
          <w:szCs w:val="24"/>
        </w:rPr>
        <w:t>Syntetické ukazatele</w:t>
      </w:r>
    </w:p>
    <w:tbl>
      <w:tblPr>
        <w:tblW w:w="9072" w:type="dxa"/>
        <w:tblCellMar>
          <w:left w:w="70" w:type="dxa"/>
          <w:right w:w="70" w:type="dxa"/>
        </w:tblCellMar>
        <w:tblLook w:val="04A0" w:firstRow="1" w:lastRow="0" w:firstColumn="1" w:lastColumn="0" w:noHBand="0" w:noVBand="1"/>
      </w:tblPr>
      <w:tblGrid>
        <w:gridCol w:w="3964"/>
        <w:gridCol w:w="1418"/>
        <w:gridCol w:w="1276"/>
        <w:gridCol w:w="1275"/>
        <w:gridCol w:w="1139"/>
      </w:tblGrid>
      <w:tr w:rsidR="007C45E1" w:rsidRPr="007C45E1" w:rsidTr="006873B7">
        <w:trPr>
          <w:trHeight w:val="170"/>
        </w:trPr>
        <w:tc>
          <w:tcPr>
            <w:tcW w:w="3964" w:type="dxa"/>
            <w:tcBorders>
              <w:top w:val="single" w:sz="4" w:space="0" w:color="auto"/>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uto"/>
              <w:left w:val="nil"/>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276" w:type="dxa"/>
            <w:tcBorders>
              <w:top w:val="single" w:sz="4" w:space="0" w:color="auto"/>
              <w:left w:val="nil"/>
              <w:bottom w:val="single" w:sz="4" w:space="0" w:color="auto"/>
              <w:right w:val="nil"/>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1 rok před úpadkem</w:t>
            </w:r>
          </w:p>
        </w:tc>
        <w:tc>
          <w:tcPr>
            <w:tcW w:w="1275" w:type="dxa"/>
            <w:tcBorders>
              <w:top w:val="single" w:sz="4" w:space="0" w:color="auto"/>
              <w:left w:val="nil"/>
              <w:bottom w:val="single" w:sz="4" w:space="0" w:color="auto"/>
              <w:right w:val="nil"/>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2 roky před úpadkem</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3 roky před úpadkem</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Kralickův Rychlý test</w:t>
            </w:r>
          </w:p>
        </w:tc>
        <w:tc>
          <w:tcPr>
            <w:tcW w:w="1418" w:type="dxa"/>
            <w:tcBorders>
              <w:top w:val="nil"/>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Mean</w:t>
            </w:r>
          </w:p>
        </w:tc>
        <w:tc>
          <w:tcPr>
            <w:tcW w:w="1276" w:type="dxa"/>
            <w:tcBorders>
              <w:top w:val="nil"/>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4,50</w:t>
            </w:r>
          </w:p>
        </w:tc>
        <w:tc>
          <w:tcPr>
            <w:tcW w:w="1275" w:type="dxa"/>
            <w:tcBorders>
              <w:top w:val="nil"/>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4,21</w:t>
            </w:r>
          </w:p>
        </w:tc>
        <w:tc>
          <w:tcPr>
            <w:tcW w:w="1139" w:type="dxa"/>
            <w:tcBorders>
              <w:top w:val="nil"/>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4,01</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4,61</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4,31</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4,10</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5,00</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4,50</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4,25</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Altmanovo Z-skóre</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Mean</w:t>
            </w:r>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-74,40</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-20,61</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0,63</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-1,78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1,01</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1,63</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-0,05</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1,07</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1,56</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Index IN05</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Mean</w:t>
            </w:r>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-14,91</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-0,24</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-1,64</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-1,48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0,15</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0,46</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-0,38</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0,33</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0,62</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Index IN99</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Mean</w:t>
            </w:r>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-16,23</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-0,13</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-1,73</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lastRenderedPageBreak/>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-1,38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0,25</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0,55</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0,35</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0,61</w:t>
            </w:r>
          </w:p>
        </w:tc>
      </w:tr>
    </w:tbl>
    <w:p w:rsidR="00807B7F" w:rsidRDefault="00807B7F" w:rsidP="005B4C0D">
      <w:pPr>
        <w:jc w:val="both"/>
        <w:rPr>
          <w:rFonts w:ascii="Arial Nova Cond Light" w:hAnsi="Arial Nova Cond Light"/>
          <w:sz w:val="24"/>
          <w:szCs w:val="24"/>
        </w:rPr>
      </w:pPr>
    </w:p>
    <w:p w:rsidR="005B4C0D" w:rsidRPr="005B4C0D" w:rsidRDefault="005B4C0D" w:rsidP="005B4C0D">
      <w:pPr>
        <w:jc w:val="both"/>
        <w:rPr>
          <w:rFonts w:ascii="Arial Nova Cond Light" w:hAnsi="Arial Nova Cond Light"/>
          <w:sz w:val="24"/>
          <w:szCs w:val="24"/>
        </w:rPr>
      </w:pPr>
      <w:r>
        <w:rPr>
          <w:rFonts w:ascii="Arial Nova Cond Light" w:hAnsi="Arial Nova Cond Light"/>
          <w:sz w:val="24"/>
          <w:szCs w:val="24"/>
        </w:rPr>
        <w:t>Průměrné hodnoty Kralickova Rychlého testu se nacházejí u úpadkových podniků ve všech třech letech před zjištěním úpadku v zóně bankrotu, tedy indikují směřování k úpadku v celém sledovaném období. Altmanovo Z-skóre se nachází v zóně bankrotu jeden a dva roky před zjištěním úpadku a index IN05 se (stejně jako Kralickův Rychlý test) nachází v zóně bankrotu ve všech třech letech před zjištěním úpadku. Index IN99 pak ve všech třech letech před zjištěním úpadku zařazuje podniky do kategorie podniků, které netvoří hodnotu.</w:t>
      </w:r>
      <w:r w:rsidR="005235F6">
        <w:rPr>
          <w:rFonts w:ascii="Arial Nova Cond Light" w:hAnsi="Arial Nova Cond Light"/>
          <w:sz w:val="24"/>
          <w:szCs w:val="24"/>
        </w:rPr>
        <w:t xml:space="preserve"> Syntetické ukazatele tak v souhrnu indikují problémy již tři roky před zjištěním úpadku.</w:t>
      </w:r>
    </w:p>
    <w:p w:rsidR="00491529" w:rsidRDefault="0049152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847272" w:rsidRPr="009B43E3" w:rsidRDefault="009B43E3" w:rsidP="006E3011">
      <w:pPr>
        <w:rPr>
          <w:rFonts w:ascii="Arial Nova Cond Light" w:hAnsi="Arial Nova Cond Light"/>
          <w:b/>
          <w:sz w:val="24"/>
          <w:szCs w:val="24"/>
          <w:u w:val="single"/>
        </w:rPr>
      </w:pPr>
      <w:r w:rsidRPr="009B43E3">
        <w:rPr>
          <w:rFonts w:ascii="Arial Nova Cond Light" w:hAnsi="Arial Nova Cond Light"/>
          <w:b/>
          <w:sz w:val="24"/>
          <w:szCs w:val="24"/>
          <w:u w:val="single"/>
        </w:rPr>
        <w:t>Relativní četnosti p</w:t>
      </w:r>
      <w:r w:rsidR="006A291C" w:rsidRPr="009B43E3">
        <w:rPr>
          <w:rFonts w:ascii="Arial Nova Cond Light" w:hAnsi="Arial Nova Cond Light"/>
          <w:b/>
          <w:sz w:val="24"/>
          <w:szCs w:val="24"/>
          <w:u w:val="single"/>
        </w:rPr>
        <w:t>olarity</w:t>
      </w:r>
      <w:r w:rsidRPr="009B43E3">
        <w:rPr>
          <w:rFonts w:ascii="Arial Nova Cond Light" w:hAnsi="Arial Nova Cond Light"/>
          <w:b/>
          <w:sz w:val="24"/>
          <w:szCs w:val="24"/>
          <w:u w:val="single"/>
        </w:rPr>
        <w:t xml:space="preserve"> vybraných ukazatelů</w:t>
      </w:r>
    </w:p>
    <w:p w:rsidR="00E75770" w:rsidRDefault="009B43E3" w:rsidP="006E3011">
      <w:pPr>
        <w:rPr>
          <w:rFonts w:ascii="Arial Nova Cond Light" w:hAnsi="Arial Nova Cond Light"/>
          <w:b/>
          <w:sz w:val="24"/>
          <w:szCs w:val="24"/>
        </w:rPr>
      </w:pPr>
      <w:r>
        <w:rPr>
          <w:rFonts w:ascii="Arial Nova Cond Light" w:hAnsi="Arial Nova Cond Light"/>
          <w:b/>
          <w:sz w:val="24"/>
          <w:szCs w:val="24"/>
        </w:rPr>
        <w:t>Polarita úrovní tvorby zisku</w:t>
      </w:r>
    </w:p>
    <w:tbl>
      <w:tblPr>
        <w:tblW w:w="9072" w:type="dxa"/>
        <w:tblCellMar>
          <w:left w:w="70" w:type="dxa"/>
          <w:right w:w="70" w:type="dxa"/>
        </w:tblCellMar>
        <w:tblLook w:val="04A0" w:firstRow="1" w:lastRow="0" w:firstColumn="1" w:lastColumn="0" w:noHBand="0" w:noVBand="1"/>
      </w:tblPr>
      <w:tblGrid>
        <w:gridCol w:w="2829"/>
        <w:gridCol w:w="2613"/>
        <w:gridCol w:w="1210"/>
        <w:gridCol w:w="1210"/>
        <w:gridCol w:w="1210"/>
      </w:tblGrid>
      <w:tr w:rsidR="00E75770" w:rsidRPr="00E75770"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outlineLvl w:val="0"/>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přidané hodnoty</w:t>
            </w: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Kladná přidaná hodnota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66,0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76,3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80,5</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Záporná přidaná hodnota</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34,0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23,7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19,5</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primární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primární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26,0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44,4</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51,4</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primární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74,0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55,6</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48,6</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provozní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provozní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24,1</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43,7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52,2</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provozní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75,9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56,3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47,8</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26,8</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45,1</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54,3</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73,2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54,9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45,7</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EBIT</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Kladný EBIT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22,0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40,3</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47,7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Záporný EBIT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78,0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59,7</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52,3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E75770" w:rsidP="006E3011">
      <w:pPr>
        <w:rPr>
          <w:rFonts w:ascii="Arial Nova Cond Light" w:hAnsi="Arial Nova Cond Light"/>
          <w:b/>
          <w:sz w:val="24"/>
          <w:szCs w:val="24"/>
        </w:rPr>
      </w:pPr>
    </w:p>
    <w:p w:rsidR="0060169A" w:rsidRPr="0060169A" w:rsidRDefault="0060169A" w:rsidP="0060169A">
      <w:pPr>
        <w:jc w:val="both"/>
        <w:rPr>
          <w:rFonts w:ascii="Arial Nova Cond Light" w:hAnsi="Arial Nova Cond Light"/>
          <w:sz w:val="24"/>
          <w:szCs w:val="24"/>
        </w:rPr>
      </w:pPr>
      <w:r w:rsidRPr="0060169A">
        <w:rPr>
          <w:rFonts w:ascii="Arial Nova Cond Light" w:hAnsi="Arial Nova Cond Light"/>
          <w:sz w:val="24"/>
          <w:szCs w:val="24"/>
        </w:rPr>
        <w:t>Na úrovni tvorby zisku</w:t>
      </w:r>
      <w:r>
        <w:rPr>
          <w:rFonts w:ascii="Arial Nova Cond Light" w:hAnsi="Arial Nova Cond Light"/>
          <w:sz w:val="24"/>
          <w:szCs w:val="24"/>
        </w:rPr>
        <w:t xml:space="preserve"> převažovaly kladné hodnoty ve všech třech letech před zjištěním úpadku pouze u přidané hodnoty, avšak relativní četnost kladných hodnot se s blížícím se úpadkem snižovala. To svědčí v průměru o stále větších potížích s krytím již samotných výrobních nákladů (výkonové spotřeby). Na všech ostatních úrovních </w:t>
      </w:r>
      <w:r>
        <w:rPr>
          <w:rFonts w:ascii="Arial Nova Cond Light" w:hAnsi="Arial Nova Cond Light"/>
          <w:sz w:val="24"/>
          <w:szCs w:val="24"/>
        </w:rPr>
        <w:lastRenderedPageBreak/>
        <w:t>tvorby zisku převažují rok před zjištěním úpadku hodnoty záporné. Zejména u primární EBITDA to znamená, že podniky nebyly již schopny pokrýt náklady práce (osobní náklady). Záporná primární EBITDA pak převažovala i dva roky před zjištěním úpadku a tři roky před zjištěním úpadku vykazovala kladnou hodnotu jen mírně nadpoloviční většina podniků.</w:t>
      </w:r>
    </w:p>
    <w:p w:rsidR="00E75770" w:rsidRDefault="009B43E3" w:rsidP="006E3011">
      <w:pPr>
        <w:rPr>
          <w:rFonts w:ascii="Arial Nova Cond Light" w:hAnsi="Arial Nova Cond Light"/>
          <w:b/>
          <w:sz w:val="24"/>
          <w:szCs w:val="24"/>
        </w:rPr>
      </w:pPr>
      <w:r>
        <w:rPr>
          <w:rFonts w:ascii="Arial Nova Cond Light" w:hAnsi="Arial Nova Cond Light"/>
          <w:b/>
          <w:sz w:val="24"/>
          <w:szCs w:val="24"/>
        </w:rPr>
        <w:t>Polarita nutné hotovosti</w:t>
      </w:r>
    </w:p>
    <w:tbl>
      <w:tblPr>
        <w:tblW w:w="9072" w:type="dxa"/>
        <w:tblCellMar>
          <w:left w:w="70" w:type="dxa"/>
          <w:right w:w="70" w:type="dxa"/>
        </w:tblCellMar>
        <w:tblLook w:val="04A0" w:firstRow="1" w:lastRow="0" w:firstColumn="1" w:lastColumn="0" w:noHBand="0" w:noVBand="1"/>
      </w:tblPr>
      <w:tblGrid>
        <w:gridCol w:w="2829"/>
        <w:gridCol w:w="2613"/>
        <w:gridCol w:w="1210"/>
        <w:gridCol w:w="1210"/>
        <w:gridCol w:w="1210"/>
      </w:tblGrid>
      <w:tr w:rsidR="006A291C" w:rsidRPr="006A291C"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3 roky před úpadkem</w:t>
            </w:r>
          </w:p>
        </w:tc>
      </w:tr>
      <w:tr w:rsidR="006A291C" w:rsidRPr="006A291C"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Polarita nutné hotovosti</w:t>
            </w:r>
          </w:p>
        </w:tc>
        <w:tc>
          <w:tcPr>
            <w:tcW w:w="2420" w:type="dxa"/>
            <w:tcBorders>
              <w:top w:val="nil"/>
              <w:left w:val="nil"/>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Přebytek nutné hotovosti</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19,5</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31,1</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34,8</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tcBorders>
              <w:top w:val="nil"/>
              <w:left w:val="single" w:sz="4" w:space="0" w:color="auto"/>
              <w:bottom w:val="single" w:sz="4" w:space="0" w:color="AEAEAE"/>
              <w:right w:val="nil"/>
            </w:tcBorders>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6A291C" w:rsidRPr="00B329D3" w:rsidRDefault="006A291C" w:rsidP="006A291C">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Deficit nutné hotovosti</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80,5</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68,9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65,2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6A291C" w:rsidRPr="006A291C"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Polarita nutné hotovosti (20 %)</w:t>
            </w:r>
          </w:p>
        </w:tc>
        <w:tc>
          <w:tcPr>
            <w:tcW w:w="2420" w:type="dxa"/>
            <w:tcBorders>
              <w:top w:val="nil"/>
              <w:left w:val="nil"/>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Přebytek nutné hotovosti (20 %)</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16,9</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26,6</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30,9</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tcBorders>
              <w:top w:val="nil"/>
              <w:left w:val="single" w:sz="4" w:space="0" w:color="auto"/>
              <w:bottom w:val="single" w:sz="4" w:space="0" w:color="AEAEAE"/>
              <w:right w:val="nil"/>
            </w:tcBorders>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6A291C" w:rsidRPr="00B329D3" w:rsidRDefault="006A291C" w:rsidP="006A291C">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Deficit nutné hotovosti (20 %)</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83,1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73,4</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69,1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6A291C" w:rsidRPr="006A291C"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bl>
    <w:p w:rsidR="006A291C" w:rsidRDefault="006A291C" w:rsidP="006E3011">
      <w:pPr>
        <w:rPr>
          <w:rFonts w:ascii="Arial Nova Cond Light" w:hAnsi="Arial Nova Cond Light"/>
          <w:b/>
          <w:sz w:val="24"/>
          <w:szCs w:val="24"/>
        </w:rPr>
      </w:pPr>
    </w:p>
    <w:p w:rsidR="0060169A" w:rsidRDefault="0060169A" w:rsidP="006E3011">
      <w:pPr>
        <w:rPr>
          <w:rFonts w:ascii="Arial Nova Cond Light" w:hAnsi="Arial Nova Cond Light"/>
          <w:sz w:val="24"/>
          <w:szCs w:val="24"/>
        </w:rPr>
      </w:pPr>
      <w:r>
        <w:rPr>
          <w:rFonts w:ascii="Arial Nova Cond Light" w:hAnsi="Arial Nova Cond Light"/>
          <w:sz w:val="24"/>
          <w:szCs w:val="24"/>
        </w:rPr>
        <w:t xml:space="preserve">Deficit nutné hotovosti (tedy relativní četnost podniků, které měly vyšší hotovost než hotovost nutnou) byl převažoval ve všech třech letech před zjištěním úpadku. Z toho lze usoudit, že většina podniku se potýkala </w:t>
      </w:r>
      <w:r w:rsidR="00C60959">
        <w:rPr>
          <w:rFonts w:ascii="Arial Nova Cond Light" w:hAnsi="Arial Nova Cond Light"/>
          <w:sz w:val="24"/>
          <w:szCs w:val="24"/>
        </w:rPr>
        <w:t>s</w:t>
      </w:r>
      <w:r>
        <w:rPr>
          <w:rFonts w:ascii="Arial Nova Cond Light" w:hAnsi="Arial Nova Cond Light"/>
          <w:sz w:val="24"/>
          <w:szCs w:val="24"/>
        </w:rPr>
        <w:t> problémy v oblasti likvidity již tři roky před úpadkem a tato situace se zhoršovala.</w:t>
      </w:r>
    </w:p>
    <w:p w:rsidR="00245D79" w:rsidRDefault="00245D79" w:rsidP="006E3011">
      <w:pPr>
        <w:rPr>
          <w:rFonts w:ascii="Arial Nova Cond Light" w:hAnsi="Arial Nova Cond Light"/>
          <w:b/>
          <w:sz w:val="24"/>
          <w:szCs w:val="24"/>
        </w:rPr>
      </w:pPr>
    </w:p>
    <w:p w:rsidR="003D6909" w:rsidRDefault="003D6909" w:rsidP="006E3011">
      <w:pPr>
        <w:rPr>
          <w:rFonts w:ascii="Arial Nova Cond Light" w:hAnsi="Arial Nova Cond Light"/>
          <w:b/>
          <w:sz w:val="24"/>
          <w:szCs w:val="24"/>
        </w:rPr>
      </w:pPr>
    </w:p>
    <w:p w:rsidR="009B43E3" w:rsidRDefault="009B43E3" w:rsidP="006E3011">
      <w:pPr>
        <w:rPr>
          <w:rFonts w:ascii="Arial Nova Cond Light" w:hAnsi="Arial Nova Cond Light"/>
          <w:b/>
          <w:sz w:val="24"/>
          <w:szCs w:val="24"/>
        </w:rPr>
      </w:pPr>
      <w:r>
        <w:rPr>
          <w:rFonts w:ascii="Arial Nova Cond Light" w:hAnsi="Arial Nova Cond Light"/>
          <w:b/>
          <w:sz w:val="24"/>
          <w:szCs w:val="24"/>
        </w:rPr>
        <w:t>Polarita salda aktivních a pasivních nepeněžních složek pracovního kapitálu</w:t>
      </w:r>
    </w:p>
    <w:tbl>
      <w:tblPr>
        <w:tblW w:w="9072" w:type="dxa"/>
        <w:tblCellMar>
          <w:left w:w="70" w:type="dxa"/>
          <w:right w:w="70" w:type="dxa"/>
        </w:tblCellMar>
        <w:tblLook w:val="04A0" w:firstRow="1" w:lastRow="0" w:firstColumn="1" w:lastColumn="0" w:noHBand="0" w:noVBand="1"/>
      </w:tblPr>
      <w:tblGrid>
        <w:gridCol w:w="2829"/>
        <w:gridCol w:w="2613"/>
        <w:gridCol w:w="1210"/>
        <w:gridCol w:w="1210"/>
        <w:gridCol w:w="1210"/>
      </w:tblGrid>
      <w:tr w:rsidR="00E75770" w:rsidRPr="00E75770"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outlineLvl w:val="0"/>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salda primárních NSPK</w:t>
            </w: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Kladné primární NSPK</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67,1</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71,7</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Záporné primární NSPK</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38,9</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32,9</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28,3</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celkových NSPK</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Kladné NSPK</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24,8</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38,1</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43,8</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Záporné NSPK</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75,2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61,9</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56,2</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6A291C" w:rsidRDefault="006A291C" w:rsidP="006E3011">
      <w:pPr>
        <w:rPr>
          <w:rFonts w:ascii="Arial Nova Cond Light" w:hAnsi="Arial Nova Cond Light"/>
          <w:b/>
          <w:sz w:val="24"/>
          <w:szCs w:val="24"/>
        </w:rPr>
      </w:pPr>
    </w:p>
    <w:p w:rsidR="0060169A" w:rsidRPr="00245D79" w:rsidRDefault="00245D79" w:rsidP="00245D79">
      <w:pPr>
        <w:jc w:val="both"/>
        <w:rPr>
          <w:rFonts w:ascii="Arial Nova Cond Light" w:hAnsi="Arial Nova Cond Light"/>
          <w:sz w:val="24"/>
          <w:szCs w:val="24"/>
        </w:rPr>
      </w:pPr>
      <w:r>
        <w:rPr>
          <w:rFonts w:ascii="Arial Nova Cond Light" w:hAnsi="Arial Nova Cond Light"/>
          <w:sz w:val="24"/>
          <w:szCs w:val="24"/>
        </w:rPr>
        <w:t>Relativní četnost p</w:t>
      </w:r>
      <w:r w:rsidRPr="00245D79">
        <w:rPr>
          <w:rFonts w:ascii="Arial Nova Cond Light" w:hAnsi="Arial Nova Cond Light"/>
          <w:sz w:val="24"/>
          <w:szCs w:val="24"/>
        </w:rPr>
        <w:t>olarit</w:t>
      </w:r>
      <w:r>
        <w:rPr>
          <w:rFonts w:ascii="Arial Nova Cond Light" w:hAnsi="Arial Nova Cond Light"/>
          <w:sz w:val="24"/>
          <w:szCs w:val="24"/>
        </w:rPr>
        <w:t>y</w:t>
      </w:r>
      <w:r w:rsidRPr="00245D79">
        <w:rPr>
          <w:rFonts w:ascii="Arial Nova Cond Light" w:hAnsi="Arial Nova Cond Light"/>
          <w:sz w:val="24"/>
          <w:szCs w:val="24"/>
        </w:rPr>
        <w:t xml:space="preserve"> salda aktivních a pasivních </w:t>
      </w:r>
      <w:r>
        <w:rPr>
          <w:rFonts w:ascii="Arial Nova Cond Light" w:hAnsi="Arial Nova Cond Light"/>
          <w:sz w:val="24"/>
          <w:szCs w:val="24"/>
        </w:rPr>
        <w:t>NSPK (kde kladná hodnota demonstruje převahu aktivních NSPK nad pasivními) ukazuje, že u primárních NSPK převažuje kladné saldo (tedy aktivní NSPK převažují nad pasivními), zatímco u celkových NSPK převažuje saldo záporné (tedy pasivní NSPK převažují nad aktivními). Z toho lze usuzovat, že problémy celkového pracovního kapitálu nemají až tak původ v primární obchodní (provozní) činnosti, ale jsou umocňovány dalšími NSPK, které nemusí souviset s primární obchodní činností (lze usuzovat zejména na různé neobchodní závazky).</w:t>
      </w:r>
    </w:p>
    <w:p w:rsidR="00824B10" w:rsidRDefault="00824B10" w:rsidP="006E3011">
      <w:pPr>
        <w:rPr>
          <w:rFonts w:ascii="Arial Nova Cond Light" w:hAnsi="Arial Nova Cond Light"/>
          <w:b/>
          <w:sz w:val="24"/>
          <w:szCs w:val="24"/>
        </w:rPr>
      </w:pPr>
      <w:r>
        <w:rPr>
          <w:rFonts w:ascii="Arial Nova Cond Light" w:hAnsi="Arial Nova Cond Light"/>
          <w:b/>
          <w:sz w:val="24"/>
          <w:szCs w:val="24"/>
        </w:rPr>
        <w:t>Polarita vlastního kapitálu</w:t>
      </w:r>
    </w:p>
    <w:tbl>
      <w:tblPr>
        <w:tblW w:w="9072" w:type="dxa"/>
        <w:tblCellMar>
          <w:left w:w="70" w:type="dxa"/>
          <w:right w:w="70" w:type="dxa"/>
        </w:tblCellMar>
        <w:tblLook w:val="04A0" w:firstRow="1" w:lastRow="0" w:firstColumn="1" w:lastColumn="0" w:noHBand="0" w:noVBand="1"/>
      </w:tblPr>
      <w:tblGrid>
        <w:gridCol w:w="2829"/>
        <w:gridCol w:w="2613"/>
        <w:gridCol w:w="1210"/>
        <w:gridCol w:w="1210"/>
        <w:gridCol w:w="1210"/>
      </w:tblGrid>
      <w:tr w:rsidR="00E75770" w:rsidRPr="00E75770" w:rsidTr="00824B10">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824B10">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lastRenderedPageBreak/>
              <w:t>Polarita vlastního kapitálu</w:t>
            </w:r>
          </w:p>
        </w:tc>
        <w:tc>
          <w:tcPr>
            <w:tcW w:w="2420" w:type="dxa"/>
            <w:tcBorders>
              <w:top w:val="nil"/>
              <w:left w:val="nil"/>
              <w:bottom w:val="single" w:sz="4" w:space="0" w:color="AEAEAE"/>
              <w:right w:val="nil"/>
            </w:tcBorders>
            <w:shd w:val="clear" w:color="auto" w:fill="auto"/>
            <w:vAlign w:val="center"/>
            <w:hideMark/>
          </w:tcPr>
          <w:p w:rsidR="00E75770" w:rsidRPr="00245D79" w:rsidRDefault="00E75770" w:rsidP="00E75770">
            <w:pPr>
              <w:spacing w:after="0" w:line="240" w:lineRule="auto"/>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Kladný vlastní kapitál</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28,8</w:t>
            </w:r>
            <w:r w:rsidR="003162BC">
              <w:rPr>
                <w:rFonts w:ascii="Arial Nova Cond Light" w:eastAsia="Times New Roman" w:hAnsi="Arial Nova Cond Light" w:cs="Calibri"/>
                <w:sz w:val="18"/>
                <w:szCs w:val="18"/>
                <w:lang w:eastAsia="cs-CZ"/>
              </w:rPr>
              <w:t xml:space="preserve"> </w:t>
            </w:r>
            <w:r w:rsidRPr="00245D79">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50,9</w:t>
            </w:r>
            <w:r w:rsidR="003162BC">
              <w:rPr>
                <w:rFonts w:ascii="Arial Nova Cond Light" w:eastAsia="Times New Roman" w:hAnsi="Arial Nova Cond Light" w:cs="Calibri"/>
                <w:sz w:val="18"/>
                <w:szCs w:val="18"/>
                <w:lang w:eastAsia="cs-CZ"/>
              </w:rPr>
              <w:t xml:space="preserve"> </w:t>
            </w:r>
            <w:r w:rsidRPr="00245D79">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63,5%</w:t>
            </w:r>
          </w:p>
        </w:tc>
      </w:tr>
      <w:tr w:rsidR="00E75770" w:rsidRPr="00E75770" w:rsidTr="00824B10">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245D79" w:rsidRDefault="00E75770" w:rsidP="00E75770">
            <w:pPr>
              <w:spacing w:after="0" w:line="240" w:lineRule="auto"/>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Záporný vlastní kapitál</w:t>
            </w:r>
          </w:p>
        </w:tc>
        <w:tc>
          <w:tcPr>
            <w:tcW w:w="1120" w:type="dxa"/>
            <w:tcBorders>
              <w:top w:val="nil"/>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71,2</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49,1</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36,5</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r>
      <w:tr w:rsidR="00E75770" w:rsidRPr="00E75770" w:rsidTr="00824B10">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3162BC" w:rsidP="006E3011">
      <w:pPr>
        <w:rPr>
          <w:rFonts w:ascii="Arial Nova Cond Light" w:hAnsi="Arial Nova Cond Light"/>
          <w:b/>
          <w:sz w:val="24"/>
          <w:szCs w:val="24"/>
        </w:rPr>
      </w:pPr>
      <w:r>
        <w:rPr>
          <w:rFonts w:ascii="Arial Nova Cond Light" w:hAnsi="Arial Nova Cond Light"/>
          <w:b/>
          <w:sz w:val="24"/>
          <w:szCs w:val="24"/>
        </w:rPr>
        <w:t xml:space="preserve"> </w:t>
      </w:r>
    </w:p>
    <w:p w:rsidR="00245D79" w:rsidRPr="00245D79" w:rsidRDefault="00245D79" w:rsidP="00245D79">
      <w:pPr>
        <w:jc w:val="both"/>
        <w:rPr>
          <w:rFonts w:ascii="Arial Nova Cond Light" w:hAnsi="Arial Nova Cond Light"/>
          <w:sz w:val="24"/>
          <w:szCs w:val="24"/>
        </w:rPr>
      </w:pPr>
      <w:r w:rsidRPr="00245D79">
        <w:rPr>
          <w:rFonts w:ascii="Arial Nova Cond Light" w:hAnsi="Arial Nova Cond Light"/>
          <w:sz w:val="24"/>
          <w:szCs w:val="24"/>
        </w:rPr>
        <w:t>U vlastního kapitálu</w:t>
      </w:r>
      <w:r>
        <w:rPr>
          <w:rFonts w:ascii="Arial Nova Cond Light" w:hAnsi="Arial Nova Cond Light"/>
          <w:sz w:val="24"/>
          <w:szCs w:val="24"/>
        </w:rPr>
        <w:t xml:space="preserve"> je u úpadkových podniků vidět, že čím více se blíží okamžik zjištění úpadku, tím vyšší je relativní četnost záporného vlastního kapitálu. Zatímco tři roky před úpadkem má více než 60 % úpadkových podniků vlastní kapitál kladný, jeden rok před úpadkem již četnost kladného vlastního kapitálu nedosahuje ani 30 %. </w:t>
      </w:r>
    </w:p>
    <w:p w:rsidR="00824B10" w:rsidRDefault="00824B10" w:rsidP="006E3011">
      <w:pPr>
        <w:rPr>
          <w:rFonts w:ascii="Arial Nova Cond Light" w:hAnsi="Arial Nova Cond Light"/>
          <w:b/>
          <w:sz w:val="24"/>
          <w:szCs w:val="24"/>
        </w:rPr>
      </w:pPr>
      <w:r>
        <w:rPr>
          <w:rFonts w:ascii="Arial Nova Cond Light" w:hAnsi="Arial Nova Cond Light"/>
          <w:b/>
          <w:sz w:val="24"/>
          <w:szCs w:val="24"/>
        </w:rPr>
        <w:t>Polarita financování dlouhodobého majetku</w:t>
      </w:r>
    </w:p>
    <w:tbl>
      <w:tblPr>
        <w:tblW w:w="9072" w:type="dxa"/>
        <w:tblCellMar>
          <w:left w:w="70" w:type="dxa"/>
          <w:right w:w="70" w:type="dxa"/>
        </w:tblCellMar>
        <w:tblLook w:val="04A0" w:firstRow="1" w:lastRow="0" w:firstColumn="1" w:lastColumn="0" w:noHBand="0" w:noVBand="1"/>
      </w:tblPr>
      <w:tblGrid>
        <w:gridCol w:w="2829"/>
        <w:gridCol w:w="2613"/>
        <w:gridCol w:w="1210"/>
        <w:gridCol w:w="1210"/>
        <w:gridCol w:w="1210"/>
      </w:tblGrid>
      <w:tr w:rsidR="00E75770" w:rsidRPr="00E75770" w:rsidTr="00824B10">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824B10">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rozdílu dlouhodobého kapitálu a DIM</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Kladný rozdíl dlo</w:t>
            </w:r>
            <w:r w:rsidR="009E0022">
              <w:rPr>
                <w:rFonts w:ascii="Arial Nova Cond Light" w:eastAsia="Times New Roman" w:hAnsi="Arial Nova Cond Light" w:cs="Calibri"/>
                <w:sz w:val="18"/>
                <w:szCs w:val="18"/>
                <w:lang w:eastAsia="cs-CZ"/>
              </w:rPr>
              <w:t>u</w:t>
            </w:r>
            <w:r w:rsidRPr="00E75770">
              <w:rPr>
                <w:rFonts w:ascii="Arial Nova Cond Light" w:eastAsia="Times New Roman" w:hAnsi="Arial Nova Cond Light" w:cs="Calibri"/>
                <w:sz w:val="18"/>
                <w:szCs w:val="18"/>
                <w:lang w:eastAsia="cs-CZ"/>
              </w:rPr>
              <w:t>hodobého kapitálu a DIM</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22,0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38,1</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44,8</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824B10">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Záporný rozdíl dlo</w:t>
            </w:r>
            <w:r w:rsidR="009E0022" w:rsidRPr="00B329D3">
              <w:rPr>
                <w:rFonts w:ascii="Arial Nova Cond Light" w:eastAsia="Times New Roman" w:hAnsi="Arial Nova Cond Light" w:cs="Calibri"/>
                <w:b/>
                <w:sz w:val="18"/>
                <w:szCs w:val="18"/>
                <w:lang w:eastAsia="cs-CZ"/>
              </w:rPr>
              <w:t>u</w:t>
            </w:r>
            <w:r w:rsidRPr="00B329D3">
              <w:rPr>
                <w:rFonts w:ascii="Arial Nova Cond Light" w:eastAsia="Times New Roman" w:hAnsi="Arial Nova Cond Light" w:cs="Calibri"/>
                <w:b/>
                <w:sz w:val="18"/>
                <w:szCs w:val="18"/>
                <w:lang w:eastAsia="cs-CZ"/>
              </w:rPr>
              <w:t>hodobého kapitálu a DIM</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78,0</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61,9</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55,2</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824B10">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Total</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E75770" w:rsidP="006E3011">
      <w:pPr>
        <w:rPr>
          <w:rFonts w:ascii="Arial Nova Cond Light" w:hAnsi="Arial Nova Cond Light"/>
          <w:b/>
          <w:sz w:val="24"/>
          <w:szCs w:val="24"/>
        </w:rPr>
      </w:pPr>
    </w:p>
    <w:p w:rsidR="006A291C" w:rsidRDefault="00C75D1E" w:rsidP="00C75D1E">
      <w:pPr>
        <w:jc w:val="both"/>
        <w:rPr>
          <w:rFonts w:ascii="Arial Nova Cond Light" w:hAnsi="Arial Nova Cond Light"/>
          <w:sz w:val="24"/>
          <w:szCs w:val="24"/>
        </w:rPr>
      </w:pPr>
      <w:r w:rsidRPr="00C75D1E">
        <w:rPr>
          <w:rFonts w:ascii="Arial Nova Cond Light" w:hAnsi="Arial Nova Cond Light"/>
          <w:sz w:val="24"/>
          <w:szCs w:val="24"/>
        </w:rPr>
        <w:t>Relativní četnost polarity financování dlouhodobého majetku ind</w:t>
      </w:r>
      <w:r>
        <w:rPr>
          <w:rFonts w:ascii="Arial Nova Cond Light" w:hAnsi="Arial Nova Cond Light"/>
          <w:sz w:val="24"/>
          <w:szCs w:val="24"/>
        </w:rPr>
        <w:t>ikuje, jaký podíl úpadkových podniků se v jednotlivých letech před úpadkem potýkal se stavem, kdy dlouhodobý majetek není financován dlouhodobým kapitálem (tedy na je částečně financován kapitálem krátkodobým). Vzhledem k tomu, že celkový dlouhodobý kapitál sestává z celkového vlastního kapitálu a dlouhodobého cizího kapitálu, financují podniky se zápornou polaritou financování dlouhodobého majetku dlouhodobý majetek krátkodobými závazky. Je vidět, že četnost negativního salda se s blížícím se úpadkem zvyšuje, což je zřejmě zčásti dáno snižováním vlastního kapitálu jako součásti kapitálu dlouhodobého.</w:t>
      </w:r>
    </w:p>
    <w:p w:rsidR="00CC2806" w:rsidRPr="007429C4" w:rsidRDefault="00CC2806" w:rsidP="00C75D1E">
      <w:pPr>
        <w:jc w:val="both"/>
        <w:rPr>
          <w:rFonts w:ascii="Arial Nova Cond Light" w:hAnsi="Arial Nova Cond Light"/>
          <w:sz w:val="24"/>
          <w:szCs w:val="24"/>
        </w:rPr>
      </w:pPr>
      <w:r w:rsidRPr="00CC2806">
        <w:rPr>
          <w:rFonts w:ascii="Arial Nova Cond Light" w:hAnsi="Arial Nova Cond Light"/>
          <w:b/>
          <w:sz w:val="24"/>
          <w:szCs w:val="24"/>
        </w:rPr>
        <w:t>Syntetické ukazatele</w:t>
      </w:r>
    </w:p>
    <w:tbl>
      <w:tblPr>
        <w:tblW w:w="9072" w:type="dxa"/>
        <w:tblCellMar>
          <w:left w:w="70" w:type="dxa"/>
          <w:right w:w="70" w:type="dxa"/>
        </w:tblCellMar>
        <w:tblLook w:val="04A0" w:firstRow="1" w:lastRow="0" w:firstColumn="1" w:lastColumn="0" w:noHBand="0" w:noVBand="1"/>
      </w:tblPr>
      <w:tblGrid>
        <w:gridCol w:w="2490"/>
        <w:gridCol w:w="3291"/>
        <w:gridCol w:w="1097"/>
        <w:gridCol w:w="1097"/>
        <w:gridCol w:w="1097"/>
      </w:tblGrid>
      <w:tr w:rsidR="00CC2806" w:rsidRPr="00CC2806" w:rsidTr="00CC2806">
        <w:trPr>
          <w:trHeight w:val="170"/>
        </w:trPr>
        <w:tc>
          <w:tcPr>
            <w:tcW w:w="5781" w:type="dxa"/>
            <w:gridSpan w:val="2"/>
            <w:tcBorders>
              <w:top w:val="single" w:sz="4" w:space="0" w:color="auto"/>
              <w:left w:val="single" w:sz="4" w:space="0" w:color="auto"/>
              <w:bottom w:val="single" w:sz="4" w:space="0" w:color="152935"/>
              <w:right w:val="nil"/>
            </w:tcBorders>
            <w:shd w:val="clear" w:color="auto" w:fill="auto"/>
            <w:vAlign w:val="bottom"/>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 </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 rok před úpadkem</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 roky před úpadkem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3 roky před úpadkem</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Kralickova rychlého testu</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3,01+ (Bankrotní podniky)</w:t>
            </w:r>
          </w:p>
        </w:tc>
        <w:tc>
          <w:tcPr>
            <w:tcW w:w="1097" w:type="dxa"/>
            <w:tcBorders>
              <w:top w:val="single" w:sz="4" w:space="0" w:color="152935"/>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90,1</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86,9</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single" w:sz="4" w:space="0" w:color="152935"/>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82,6</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2,00 - 3,00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8,0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13,2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&lt;= 1,99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4,2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Altmanova Z-skóre</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&lt;= 1,230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71,2</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53,0</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43,2</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1,231 - 2,899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28,2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31,8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2,900+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25,0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Indexu IN05</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&lt;= ,900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83,0</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71,1</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65,5</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,901 - 1,599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Indexu IN99</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&lt;= ,684 (Podniky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75,9</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62,7</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52,6</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,685 - 1,220 (Podniky spíše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7,7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1,221 - 1,590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5,1</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9,6</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1,591 - 2,070 (Podniky spíše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5,0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2,071+ (Podniky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11,5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11,5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13,4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auto"/>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Total</w:t>
            </w:r>
          </w:p>
        </w:tc>
        <w:tc>
          <w:tcPr>
            <w:tcW w:w="1097" w:type="dxa"/>
            <w:tcBorders>
              <w:top w:val="nil"/>
              <w:left w:val="nil"/>
              <w:bottom w:val="single" w:sz="4" w:space="0" w:color="auto"/>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uto"/>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bl>
    <w:p w:rsidR="007429C4" w:rsidRDefault="007429C4" w:rsidP="007429C4">
      <w:pPr>
        <w:rPr>
          <w:rFonts w:ascii="Arial Nova Cond Light" w:hAnsi="Arial Nova Cond Light"/>
          <w:sz w:val="24"/>
          <w:szCs w:val="24"/>
        </w:rPr>
      </w:pPr>
    </w:p>
    <w:p w:rsidR="007429C4" w:rsidRPr="007429C4" w:rsidRDefault="007429C4" w:rsidP="004A6A9E">
      <w:pPr>
        <w:jc w:val="both"/>
        <w:rPr>
          <w:rFonts w:ascii="Arial Nova Cond Light" w:hAnsi="Arial Nova Cond Light"/>
          <w:sz w:val="24"/>
          <w:szCs w:val="24"/>
        </w:rPr>
      </w:pPr>
      <w:r>
        <w:rPr>
          <w:rFonts w:ascii="Arial Nova Cond Light" w:hAnsi="Arial Nova Cond Light"/>
          <w:sz w:val="24"/>
          <w:szCs w:val="24"/>
        </w:rPr>
        <w:lastRenderedPageBreak/>
        <w:t>Převážná část úpadkových podniků se z hlediska syntetických ukazatele zařazujíc</w:t>
      </w:r>
      <w:r w:rsidR="004A6A9E">
        <w:rPr>
          <w:rFonts w:ascii="Arial Nova Cond Light" w:hAnsi="Arial Nova Cond Light"/>
          <w:sz w:val="24"/>
          <w:szCs w:val="24"/>
        </w:rPr>
        <w:t>íc</w:t>
      </w:r>
      <w:r w:rsidR="00C953C8">
        <w:rPr>
          <w:rFonts w:ascii="Arial Nova Cond Light" w:hAnsi="Arial Nova Cond Light"/>
          <w:sz w:val="24"/>
          <w:szCs w:val="24"/>
        </w:rPr>
        <w:t>h</w:t>
      </w:r>
      <w:r>
        <w:rPr>
          <w:rFonts w:ascii="Arial Nova Cond Light" w:hAnsi="Arial Nova Cond Light"/>
          <w:sz w:val="24"/>
          <w:szCs w:val="24"/>
        </w:rPr>
        <w:t xml:space="preserve"> podniky mezi bankrotní a bonitní </w:t>
      </w:r>
      <w:r w:rsidR="004A6A9E">
        <w:rPr>
          <w:rFonts w:ascii="Arial Nova Cond Light" w:hAnsi="Arial Nova Cond Light"/>
          <w:sz w:val="24"/>
          <w:szCs w:val="24"/>
        </w:rPr>
        <w:t>pohybuje již tři roky před zjištění úpadku v bankrotní zóně a s blížícím se úpadkem se jejich četnost zvyšuje. Relativní četnost kategorií indexu IN99, který je spíše indexem vlastnickým, ukazuje, že současně již tři roky před úpadkem úpadkové podniky netvořily hodnotu. Zajímavé však u tohoto ukazatele je to, že více než 10 % úpadkových podniků tvořilo ve všech třech letech před zjištěním úpadku hodnotu (a to i jeden rok před zjištěním úpadku).</w:t>
      </w:r>
      <w:r w:rsidR="00950E92">
        <w:rPr>
          <w:rFonts w:ascii="Arial Nova Cond Light" w:hAnsi="Arial Nova Cond Light"/>
          <w:sz w:val="24"/>
          <w:szCs w:val="24"/>
        </w:rPr>
        <w:t xml:space="preserve"> Současně, jeden rok před úpadkem je celkem nízká relativní četnost výskytu šedé zóny.</w:t>
      </w:r>
    </w:p>
    <w:p w:rsidR="003D6909" w:rsidRDefault="003D6909" w:rsidP="00C84830">
      <w:pPr>
        <w:pStyle w:val="Nadpis1"/>
      </w:pPr>
    </w:p>
    <w:p w:rsidR="00C84830" w:rsidRDefault="00C84830" w:rsidP="00C84830">
      <w:pPr>
        <w:pStyle w:val="Nadpis1"/>
      </w:pPr>
      <w:r>
        <w:t>Závěr</w:t>
      </w:r>
      <w:r w:rsidR="004E523E">
        <w:t xml:space="preserve"> a otázky k</w:t>
      </w:r>
      <w:r w:rsidR="00CE6AF5">
        <w:t> </w:t>
      </w:r>
      <w:r w:rsidR="004E523E">
        <w:t>diskusi</w:t>
      </w:r>
    </w:p>
    <w:p w:rsidR="003D6909" w:rsidRDefault="003D6909" w:rsidP="00CE6AF5">
      <w:pPr>
        <w:rPr>
          <w:rFonts w:ascii="Arial Nova Cond Light" w:hAnsi="Arial Nova Cond Light"/>
          <w:sz w:val="24"/>
          <w:szCs w:val="24"/>
        </w:rPr>
      </w:pPr>
    </w:p>
    <w:p w:rsidR="00CE6AF5" w:rsidRPr="00CE6AF5" w:rsidRDefault="00CE6AF5" w:rsidP="003D6909">
      <w:pPr>
        <w:jc w:val="both"/>
        <w:rPr>
          <w:rFonts w:ascii="Arial Nova Cond Light" w:hAnsi="Arial Nova Cond Light"/>
          <w:sz w:val="24"/>
          <w:szCs w:val="24"/>
        </w:rPr>
      </w:pPr>
      <w:r w:rsidRPr="00CE6AF5">
        <w:rPr>
          <w:rFonts w:ascii="Arial Nova Cond Light" w:hAnsi="Arial Nova Cond Light"/>
          <w:sz w:val="24"/>
          <w:szCs w:val="24"/>
        </w:rPr>
        <w:t>Ukazuje se</w:t>
      </w:r>
      <w:r>
        <w:rPr>
          <w:rFonts w:ascii="Arial Nova Cond Light" w:hAnsi="Arial Nova Cond Light"/>
          <w:sz w:val="24"/>
          <w:szCs w:val="24"/>
        </w:rPr>
        <w:t xml:space="preserve">, že u většiny úpadkových podniků byly příznaky finančních potíží indikovány již tři roky před jeho zjištěním a situace se s blížím se úpadkem zhoršovala. To je patrné jak z redukovaného průměru a mediánu poměrových ukazatelů, tak z četnosti polarity vybraných finančních charakteristik. Zejména polarity, jejichž vypovídací schopnost má jednoznačný charakter ukazují, že </w:t>
      </w:r>
      <w:r w:rsidR="003D6909">
        <w:rPr>
          <w:rFonts w:ascii="Arial Nova Cond Light" w:hAnsi="Arial Nova Cond Light"/>
          <w:sz w:val="24"/>
          <w:szCs w:val="24"/>
        </w:rPr>
        <w:t>většina podniků se u vybraných ukazatelů nacházela v záporných hodnotách a jejich relativní četnost se s blížícím se úpadkem zvyšovala.</w:t>
      </w:r>
    </w:p>
    <w:p w:rsidR="004E523E" w:rsidRPr="004E523E" w:rsidRDefault="004E523E" w:rsidP="004E523E">
      <w:pPr>
        <w:jc w:val="both"/>
        <w:rPr>
          <w:rFonts w:ascii="Arial Nova Cond Light" w:hAnsi="Arial Nova Cond Light"/>
          <w:sz w:val="24"/>
          <w:szCs w:val="24"/>
          <w:u w:val="single"/>
        </w:rPr>
      </w:pPr>
      <w:r w:rsidRPr="004E523E">
        <w:rPr>
          <w:rFonts w:ascii="Arial Nova Cond Light" w:hAnsi="Arial Nova Cond Light"/>
          <w:sz w:val="24"/>
          <w:szCs w:val="24"/>
          <w:u w:val="single"/>
        </w:rPr>
        <w:t>Otázky k diskusi</w:t>
      </w:r>
    </w:p>
    <w:p w:rsidR="004E523E" w:rsidRDefault="004E523E" w:rsidP="004E523E">
      <w:pPr>
        <w:jc w:val="both"/>
        <w:rPr>
          <w:rFonts w:ascii="Arial Nova Cond Light" w:hAnsi="Arial Nova Cond Light"/>
          <w:sz w:val="24"/>
          <w:szCs w:val="24"/>
        </w:rPr>
      </w:pPr>
      <w:r>
        <w:rPr>
          <w:rFonts w:ascii="Arial Nova Cond Light" w:hAnsi="Arial Nova Cond Light"/>
          <w:sz w:val="24"/>
          <w:szCs w:val="24"/>
        </w:rPr>
        <w:t>Co je důvodem, že u úpadkových podniků přetrvává indikace krizové situace již nejméně tři roky před zjištěném úpadku a prohlubuje se</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absence controllingu a intuitivní finanční řízení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neochota přiznat potíže v případě vlastnicky řízených firem</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obava z negativní publicity spojené s insolvenčním řízení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obava ze ztráty dispozičních oprávnění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těžký přístup k bankovním úvěrům</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nepřátelské daňové prostředí</w:t>
      </w:r>
    </w:p>
    <w:p w:rsid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w:t>
      </w:r>
      <w:r>
        <w:rPr>
          <w:rFonts w:ascii="Arial Nova Cond Light" w:hAnsi="Arial Nova Cond Light"/>
          <w:sz w:val="24"/>
          <w:szCs w:val="24"/>
        </w:rPr>
        <w:t>případné další otázky</w:t>
      </w:r>
    </w:p>
    <w:p w:rsidR="00166BC1" w:rsidRPr="00166BC1" w:rsidRDefault="00166BC1" w:rsidP="00166BC1">
      <w:pPr>
        <w:pStyle w:val="Bezmezer"/>
        <w:ind w:left="708"/>
        <w:rPr>
          <w:rFonts w:ascii="Arial Nova Cond Light" w:hAnsi="Arial Nova Cond Light"/>
          <w:sz w:val="24"/>
          <w:szCs w:val="24"/>
        </w:rPr>
      </w:pPr>
    </w:p>
    <w:p w:rsidR="00166BC1" w:rsidRPr="00166BC1" w:rsidRDefault="00166BC1" w:rsidP="00166BC1">
      <w:pPr>
        <w:jc w:val="both"/>
        <w:rPr>
          <w:rFonts w:ascii="Arial Nova Cond Light" w:hAnsi="Arial Nova Cond Light"/>
          <w:sz w:val="24"/>
          <w:szCs w:val="24"/>
        </w:rPr>
      </w:pPr>
      <w:r w:rsidRPr="00166BC1">
        <w:rPr>
          <w:rFonts w:ascii="Arial Nova Cond Light" w:hAnsi="Arial Nova Cond Light"/>
          <w:sz w:val="24"/>
          <w:szCs w:val="24"/>
        </w:rPr>
        <w:t>Co by mohlo pomoci k včasnější identifikaci krizové situace podniku a odvrácení dojití až do úpadku?</w:t>
      </w:r>
    </w:p>
    <w:p w:rsidR="00166BC1" w:rsidRPr="00166BC1" w:rsidRDefault="00166BC1" w:rsidP="00166BC1">
      <w:pPr>
        <w:jc w:val="both"/>
        <w:rPr>
          <w:rFonts w:ascii="Arial Nova Cond Light" w:hAnsi="Arial Nova Cond Light"/>
          <w:sz w:val="24"/>
          <w:szCs w:val="24"/>
        </w:rPr>
      </w:pPr>
      <w:r w:rsidRPr="00166BC1">
        <w:rPr>
          <w:rFonts w:ascii="Arial Nova Cond Light" w:hAnsi="Arial Nova Cond Light"/>
          <w:sz w:val="24"/>
          <w:szCs w:val="24"/>
        </w:rPr>
        <w:t>Je to preventivní restrukturalizace? A Jaké by musela mít parametry, aby byla „lákavou nabídkou“ jak pro věřitele</w:t>
      </w:r>
      <w:r>
        <w:rPr>
          <w:rFonts w:ascii="Arial Nova Cond Light" w:hAnsi="Arial Nova Cond Light"/>
          <w:sz w:val="24"/>
          <w:szCs w:val="24"/>
        </w:rPr>
        <w:t>,</w:t>
      </w:r>
      <w:r w:rsidRPr="00166BC1">
        <w:rPr>
          <w:rFonts w:ascii="Arial Nova Cond Light" w:hAnsi="Arial Nova Cond Light"/>
          <w:sz w:val="24"/>
          <w:szCs w:val="24"/>
        </w:rPr>
        <w:t xml:space="preserve"> tak zejména pro podnik, kterému hrozí úpadek.</w:t>
      </w:r>
    </w:p>
    <w:p w:rsidR="00166BC1" w:rsidRDefault="00166BC1" w:rsidP="00291533">
      <w:pPr>
        <w:pStyle w:val="Nadpis1"/>
      </w:pPr>
    </w:p>
    <w:p w:rsidR="00291533" w:rsidRDefault="00FC42C9" w:rsidP="00291533">
      <w:pPr>
        <w:pStyle w:val="Nadpis1"/>
      </w:pPr>
      <w:r>
        <w:t>Hlavní v</w:t>
      </w:r>
      <w:r w:rsidR="00291533">
        <w:t>ýsledky diskuse</w:t>
      </w:r>
    </w:p>
    <w:p w:rsidR="00291533" w:rsidRDefault="00291533" w:rsidP="00291533">
      <w:pPr>
        <w:jc w:val="both"/>
        <w:rPr>
          <w:rFonts w:ascii="Arial Nova Cond Light" w:hAnsi="Arial Nova Cond Light"/>
          <w:sz w:val="24"/>
          <w:szCs w:val="24"/>
        </w:rPr>
      </w:pPr>
    </w:p>
    <w:p w:rsidR="00291533" w:rsidRPr="00AE5E0B" w:rsidRDefault="00291533" w:rsidP="00291533">
      <w:pPr>
        <w:jc w:val="both"/>
        <w:rPr>
          <w:rFonts w:ascii="Arial Nova Cond Light" w:hAnsi="Arial Nova Cond Light"/>
          <w:b/>
          <w:sz w:val="24"/>
          <w:szCs w:val="24"/>
          <w:u w:val="single"/>
        </w:rPr>
      </w:pPr>
      <w:r w:rsidRPr="00AE5E0B">
        <w:rPr>
          <w:rFonts w:ascii="Arial Nova Cond Light" w:hAnsi="Arial Nova Cond Light"/>
          <w:b/>
          <w:sz w:val="24"/>
          <w:szCs w:val="24"/>
          <w:u w:val="single"/>
        </w:rPr>
        <w:t>Obecně</w:t>
      </w:r>
    </w:p>
    <w:p w:rsidR="00291533" w:rsidRDefault="00291533" w:rsidP="00291533">
      <w:pPr>
        <w:jc w:val="both"/>
        <w:rPr>
          <w:rFonts w:ascii="Arial Nova Cond Light" w:hAnsi="Arial Nova Cond Light"/>
          <w:sz w:val="24"/>
          <w:szCs w:val="24"/>
        </w:rPr>
      </w:pPr>
      <w:r>
        <w:rPr>
          <w:rFonts w:ascii="Arial Nova Cond Light" w:hAnsi="Arial Nova Cond Light"/>
          <w:sz w:val="24"/>
          <w:szCs w:val="24"/>
        </w:rPr>
        <w:t xml:space="preserve">Počátek diskuse po úvodní prezentaci se soustředil na samotný datový soubor. Bylo konstatováno, že datový soubor je složen z podniků, u kterých jsou dostupné příslušné údaje, tedy z podniků, které plnily svou zákonnou povinnost zveřejňovat údaje o svém hospodaření. </w:t>
      </w:r>
      <w:r w:rsidR="00AE5E0B">
        <w:rPr>
          <w:rFonts w:ascii="Arial Nova Cond Light" w:hAnsi="Arial Nova Cond Light"/>
          <w:sz w:val="24"/>
          <w:szCs w:val="24"/>
        </w:rPr>
        <w:t>Z řad účastníků byl vznesen dotaz,</w:t>
      </w:r>
      <w:r>
        <w:rPr>
          <w:rFonts w:ascii="Arial Nova Cond Light" w:hAnsi="Arial Nova Cond Light"/>
          <w:sz w:val="24"/>
          <w:szCs w:val="24"/>
        </w:rPr>
        <w:t xml:space="preserve"> zda je možné z datového souboru </w:t>
      </w:r>
      <w:r>
        <w:rPr>
          <w:rFonts w:ascii="Arial Nova Cond Light" w:hAnsi="Arial Nova Cond Light"/>
          <w:sz w:val="24"/>
          <w:szCs w:val="24"/>
        </w:rPr>
        <w:lastRenderedPageBreak/>
        <w:t>získat údaj, z</w:t>
      </w:r>
      <w:r w:rsidR="00AE5E0B">
        <w:rPr>
          <w:rFonts w:ascii="Arial Nova Cond Light" w:hAnsi="Arial Nova Cond Light"/>
          <w:sz w:val="24"/>
          <w:szCs w:val="24"/>
        </w:rPr>
        <w:t>d</w:t>
      </w:r>
      <w:r>
        <w:rPr>
          <w:rFonts w:ascii="Arial Nova Cond Light" w:hAnsi="Arial Nova Cond Light"/>
          <w:sz w:val="24"/>
          <w:szCs w:val="24"/>
        </w:rPr>
        <w:t xml:space="preserve">a podniky měly či neměly </w:t>
      </w:r>
      <w:r w:rsidRPr="00AE5E0B">
        <w:rPr>
          <w:rFonts w:ascii="Arial Nova Cond Light" w:hAnsi="Arial Nova Cond Light"/>
          <w:b/>
          <w:sz w:val="24"/>
          <w:szCs w:val="24"/>
        </w:rPr>
        <w:t>bankovní úvěry</w:t>
      </w:r>
      <w:r>
        <w:rPr>
          <w:rFonts w:ascii="Arial Nova Cond Light" w:hAnsi="Arial Nova Cond Light"/>
          <w:sz w:val="24"/>
          <w:szCs w:val="24"/>
        </w:rPr>
        <w:t>, což možné je. Bylo navrženo, provést analýzu rovněž z toho pohledu, zda podn</w:t>
      </w:r>
      <w:r w:rsidR="00AE5E0B">
        <w:rPr>
          <w:rFonts w:ascii="Arial Nova Cond Light" w:hAnsi="Arial Nova Cond Light"/>
          <w:sz w:val="24"/>
          <w:szCs w:val="24"/>
        </w:rPr>
        <w:t xml:space="preserve">iky, které měly bankovní úvěry </w:t>
      </w:r>
      <w:r>
        <w:rPr>
          <w:rFonts w:ascii="Arial Nova Cond Light" w:hAnsi="Arial Nova Cond Light"/>
          <w:sz w:val="24"/>
          <w:szCs w:val="24"/>
        </w:rPr>
        <w:t xml:space="preserve">a tudíž musely plnit mimo jiné i povinnost poskytovat bance informace, byly díky kontrole banky v lepší kondici. </w:t>
      </w:r>
    </w:p>
    <w:p w:rsidR="00291533" w:rsidRDefault="00007103" w:rsidP="00291533">
      <w:pPr>
        <w:jc w:val="both"/>
        <w:rPr>
          <w:rFonts w:ascii="Arial Nova Cond Light" w:hAnsi="Arial Nova Cond Light"/>
          <w:sz w:val="24"/>
          <w:szCs w:val="24"/>
        </w:rPr>
      </w:pPr>
      <w:r>
        <w:rPr>
          <w:rFonts w:ascii="Arial Nova Cond Light" w:hAnsi="Arial Nova Cond Light"/>
          <w:sz w:val="24"/>
          <w:szCs w:val="24"/>
        </w:rPr>
        <w:t>Následně</w:t>
      </w:r>
      <w:r w:rsidR="00291533">
        <w:rPr>
          <w:rFonts w:ascii="Arial Nova Cond Light" w:hAnsi="Arial Nova Cond Light"/>
          <w:sz w:val="24"/>
          <w:szCs w:val="24"/>
        </w:rPr>
        <w:t xml:space="preserve"> </w:t>
      </w:r>
      <w:r>
        <w:rPr>
          <w:rFonts w:ascii="Arial Nova Cond Light" w:hAnsi="Arial Nova Cond Light"/>
          <w:sz w:val="24"/>
          <w:szCs w:val="24"/>
        </w:rPr>
        <w:t>se diskutovalo</w:t>
      </w:r>
      <w:r w:rsidR="00291533">
        <w:rPr>
          <w:rFonts w:ascii="Arial Nova Cond Light" w:hAnsi="Arial Nova Cond Light"/>
          <w:sz w:val="24"/>
          <w:szCs w:val="24"/>
        </w:rPr>
        <w:t xml:space="preserve"> </w:t>
      </w:r>
      <w:r w:rsidR="00291533" w:rsidRPr="00AE5E0B">
        <w:rPr>
          <w:rFonts w:ascii="Arial Nova Cond Light" w:hAnsi="Arial Nova Cond Light"/>
          <w:b/>
          <w:sz w:val="24"/>
          <w:szCs w:val="24"/>
        </w:rPr>
        <w:t>zpoždění údajů ve výročních výkazech</w:t>
      </w:r>
      <w:r w:rsidR="00291533">
        <w:rPr>
          <w:rFonts w:ascii="Arial Nova Cond Light" w:hAnsi="Arial Nova Cond Light"/>
          <w:sz w:val="24"/>
          <w:szCs w:val="24"/>
        </w:rPr>
        <w:t xml:space="preserve"> pro účely systému včasného varování. Bylo konstatováno, že systém včasného varování by měl sloužit zejména podnikům pro identifikaci jejich stavu a podniky disponují aktuálními údaji, které by bylo možné do systému zadat.</w:t>
      </w:r>
    </w:p>
    <w:p w:rsidR="00291533" w:rsidRDefault="00007103" w:rsidP="00291533">
      <w:pPr>
        <w:jc w:val="both"/>
        <w:rPr>
          <w:rFonts w:ascii="Arial Nova Cond Light" w:hAnsi="Arial Nova Cond Light"/>
          <w:sz w:val="24"/>
          <w:szCs w:val="24"/>
        </w:rPr>
      </w:pPr>
      <w:r>
        <w:rPr>
          <w:rFonts w:ascii="Arial Nova Cond Light" w:hAnsi="Arial Nova Cond Light"/>
          <w:sz w:val="24"/>
          <w:szCs w:val="24"/>
        </w:rPr>
        <w:t xml:space="preserve">Přítomní účastníci se také zamýšleli nad možností </w:t>
      </w:r>
      <w:r w:rsidR="00291533">
        <w:rPr>
          <w:rFonts w:ascii="Arial Nova Cond Light" w:hAnsi="Arial Nova Cond Light"/>
          <w:sz w:val="24"/>
          <w:szCs w:val="24"/>
        </w:rPr>
        <w:t xml:space="preserve">určit, které podniky (resp. jejich vlastníci) se snažily řešit svou neutěšenou situaci </w:t>
      </w:r>
      <w:r w:rsidR="00291533" w:rsidRPr="00AE5E0B">
        <w:rPr>
          <w:rFonts w:ascii="Arial Nova Cond Light" w:hAnsi="Arial Nova Cond Light"/>
          <w:b/>
          <w:sz w:val="24"/>
          <w:szCs w:val="24"/>
        </w:rPr>
        <w:t>dodatečnými (peněžními) vklady</w:t>
      </w:r>
      <w:r w:rsidR="00291533">
        <w:rPr>
          <w:rFonts w:ascii="Arial Nova Cond Light" w:hAnsi="Arial Nova Cond Light"/>
          <w:sz w:val="24"/>
          <w:szCs w:val="24"/>
        </w:rPr>
        <w:t xml:space="preserve">. </w:t>
      </w:r>
      <w:r w:rsidR="00EF1564">
        <w:rPr>
          <w:rFonts w:ascii="Arial Nova Cond Light" w:hAnsi="Arial Nova Cond Light"/>
          <w:sz w:val="24"/>
          <w:szCs w:val="24"/>
        </w:rPr>
        <w:t xml:space="preserve">To za účelem zjištění, zda vlastníci měli ochotu podnik sanovat. </w:t>
      </w:r>
    </w:p>
    <w:p w:rsidR="00EF1564" w:rsidRDefault="00EF1564" w:rsidP="00291533">
      <w:pPr>
        <w:jc w:val="both"/>
        <w:rPr>
          <w:rFonts w:ascii="Arial Nova Cond Light" w:hAnsi="Arial Nova Cond Light"/>
          <w:sz w:val="24"/>
          <w:szCs w:val="24"/>
        </w:rPr>
      </w:pPr>
      <w:r>
        <w:rPr>
          <w:rFonts w:ascii="Arial Nova Cond Light" w:hAnsi="Arial Nova Cond Light"/>
          <w:sz w:val="24"/>
          <w:szCs w:val="24"/>
        </w:rPr>
        <w:t xml:space="preserve">Dále byla vznesena otázka, zda je možné z datového souboru zjistit </w:t>
      </w:r>
      <w:r w:rsidRPr="00465925">
        <w:rPr>
          <w:rFonts w:ascii="Arial Nova Cond Light" w:hAnsi="Arial Nova Cond Light"/>
          <w:b/>
          <w:sz w:val="24"/>
          <w:szCs w:val="24"/>
        </w:rPr>
        <w:t>rozdíl mezi</w:t>
      </w:r>
      <w:r>
        <w:rPr>
          <w:rFonts w:ascii="Arial Nova Cond Light" w:hAnsi="Arial Nova Cond Light"/>
          <w:sz w:val="24"/>
          <w:szCs w:val="24"/>
        </w:rPr>
        <w:t xml:space="preserve"> </w:t>
      </w:r>
      <w:r w:rsidRPr="00465925">
        <w:rPr>
          <w:rFonts w:ascii="Arial Nova Cond Light" w:hAnsi="Arial Nova Cond Light"/>
          <w:b/>
          <w:sz w:val="24"/>
          <w:szCs w:val="24"/>
        </w:rPr>
        <w:t>auditovanými a neauditovanými společnostmi</w:t>
      </w:r>
      <w:r>
        <w:rPr>
          <w:rFonts w:ascii="Arial Nova Cond Light" w:hAnsi="Arial Nova Cond Light"/>
          <w:sz w:val="24"/>
          <w:szCs w:val="24"/>
        </w:rPr>
        <w:t>, tedy zjistit, zda auditor odhalil problémy podniku, zda auditoři upozorňovali s předstihem na existenční problémy podniku.</w:t>
      </w:r>
    </w:p>
    <w:p w:rsidR="00EF1564" w:rsidRDefault="00181D74" w:rsidP="00291533">
      <w:pPr>
        <w:jc w:val="both"/>
        <w:rPr>
          <w:rFonts w:ascii="Arial Nova Cond Light" w:hAnsi="Arial Nova Cond Light"/>
          <w:sz w:val="24"/>
          <w:szCs w:val="24"/>
        </w:rPr>
      </w:pPr>
      <w:r>
        <w:rPr>
          <w:rFonts w:ascii="Arial Nova Cond Light" w:hAnsi="Arial Nova Cond Light"/>
          <w:sz w:val="24"/>
          <w:szCs w:val="24"/>
        </w:rPr>
        <w:t>Z</w:t>
      </w:r>
      <w:r w:rsidR="00EF1564">
        <w:rPr>
          <w:rFonts w:ascii="Arial Nova Cond Light" w:hAnsi="Arial Nova Cond Light"/>
          <w:sz w:val="24"/>
          <w:szCs w:val="24"/>
        </w:rPr>
        <w:t xml:space="preserve"> diskuse </w:t>
      </w:r>
      <w:r>
        <w:rPr>
          <w:rFonts w:ascii="Arial Nova Cond Light" w:hAnsi="Arial Nova Cond Light"/>
          <w:sz w:val="24"/>
          <w:szCs w:val="24"/>
        </w:rPr>
        <w:t xml:space="preserve">také </w:t>
      </w:r>
      <w:r w:rsidR="00EF1564">
        <w:rPr>
          <w:rFonts w:ascii="Arial Nova Cond Light" w:hAnsi="Arial Nova Cond Light"/>
          <w:sz w:val="24"/>
          <w:szCs w:val="24"/>
        </w:rPr>
        <w:t xml:space="preserve">vyplynuly </w:t>
      </w:r>
      <w:r w:rsidR="00EF1564" w:rsidRPr="00DD0FB1">
        <w:rPr>
          <w:rFonts w:ascii="Arial Nova Cond Light" w:hAnsi="Arial Nova Cond Light"/>
          <w:b/>
          <w:sz w:val="24"/>
          <w:szCs w:val="24"/>
        </w:rPr>
        <w:t>následující skutečnosti</w:t>
      </w:r>
      <w:r w:rsidR="00EF1564">
        <w:rPr>
          <w:rFonts w:ascii="Arial Nova Cond Light" w:hAnsi="Arial Nova Cond Light"/>
          <w:sz w:val="24"/>
          <w:szCs w:val="24"/>
        </w:rPr>
        <w:t>:</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Úpadek řeší většinou „poučený“ věřitel, nikoliv vlastník či management (což je v řadě případů rovněž vlastník)</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Přetrvávají „marná doufání“ dlužníka ve zlepšení situace</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Možnost spuštění „úpadkové kalkulačky“, kde by si mohl management či vlastníci ověřit, zda jejich podnik nesměřuje k úpadku.</w:t>
      </w:r>
    </w:p>
    <w:p w:rsidR="00EF1564" w:rsidRDefault="00EF1564" w:rsidP="00EF1564">
      <w:pPr>
        <w:jc w:val="both"/>
        <w:rPr>
          <w:rFonts w:ascii="Arial Nova Cond Light" w:hAnsi="Arial Nova Cond Light"/>
          <w:sz w:val="24"/>
          <w:szCs w:val="24"/>
        </w:rPr>
      </w:pPr>
      <w:r>
        <w:rPr>
          <w:rFonts w:ascii="Arial Nova Cond Light" w:hAnsi="Arial Nova Cond Light"/>
          <w:sz w:val="24"/>
          <w:szCs w:val="24"/>
        </w:rPr>
        <w:t>Jednotliví diskutující pak např. konstatovali, že vlastníci a manažeři (zejména u SME) si reálnou situaci neuvědomují či si ji nechtějí připustit, musí je donutit věřitelé, což činí především banky.</w:t>
      </w:r>
    </w:p>
    <w:p w:rsidR="00FC42C9" w:rsidRPr="00DD0FB1" w:rsidRDefault="00FC42C9" w:rsidP="00EF1564">
      <w:pPr>
        <w:jc w:val="both"/>
        <w:rPr>
          <w:rFonts w:ascii="Arial Nova Cond Light" w:hAnsi="Arial Nova Cond Light"/>
          <w:b/>
          <w:sz w:val="24"/>
          <w:szCs w:val="24"/>
          <w:u w:val="single"/>
        </w:rPr>
      </w:pPr>
      <w:r w:rsidRPr="00DD0FB1">
        <w:rPr>
          <w:rFonts w:ascii="Arial Nova Cond Light" w:hAnsi="Arial Nova Cond Light"/>
          <w:b/>
          <w:sz w:val="24"/>
          <w:szCs w:val="24"/>
          <w:u w:val="single"/>
        </w:rPr>
        <w:t>Otázka motivací</w:t>
      </w:r>
    </w:p>
    <w:p w:rsidR="00DD0FB1" w:rsidRDefault="0017228C" w:rsidP="00EF1564">
      <w:pPr>
        <w:jc w:val="both"/>
        <w:rPr>
          <w:rFonts w:ascii="Arial Nova Cond Light" w:hAnsi="Arial Nova Cond Light"/>
          <w:sz w:val="24"/>
          <w:szCs w:val="24"/>
        </w:rPr>
      </w:pPr>
      <w:r>
        <w:rPr>
          <w:rFonts w:ascii="Arial Nova Cond Light" w:hAnsi="Arial Nova Cond Light"/>
          <w:sz w:val="24"/>
          <w:szCs w:val="24"/>
        </w:rPr>
        <w:t xml:space="preserve">Diskusi vyvolaly také různé pohledy na motivaci </w:t>
      </w:r>
      <w:r w:rsidR="00EF1564">
        <w:rPr>
          <w:rFonts w:ascii="Arial Nova Cond Light" w:hAnsi="Arial Nova Cond Light"/>
          <w:sz w:val="24"/>
          <w:szCs w:val="24"/>
        </w:rPr>
        <w:t xml:space="preserve">podniků k preventivní restrukturalizaci. </w:t>
      </w:r>
      <w:r>
        <w:rPr>
          <w:rFonts w:ascii="Arial Nova Cond Light" w:hAnsi="Arial Nova Cond Light"/>
          <w:sz w:val="24"/>
          <w:szCs w:val="24"/>
        </w:rPr>
        <w:t xml:space="preserve">Motivace může mít totiž </w:t>
      </w:r>
      <w:r w:rsidR="00EF1564" w:rsidRPr="00DD0FB1">
        <w:rPr>
          <w:rFonts w:ascii="Arial Nova Cond Light" w:hAnsi="Arial Nova Cond Light"/>
          <w:b/>
          <w:sz w:val="24"/>
          <w:szCs w:val="24"/>
        </w:rPr>
        <w:t>negativní</w:t>
      </w:r>
      <w:r w:rsidRPr="00DD0FB1">
        <w:rPr>
          <w:rFonts w:ascii="Arial Nova Cond Light" w:hAnsi="Arial Nova Cond Light"/>
          <w:b/>
          <w:sz w:val="24"/>
          <w:szCs w:val="24"/>
        </w:rPr>
        <w:t xml:space="preserve"> </w:t>
      </w:r>
      <w:r w:rsidR="00DD0FB1">
        <w:rPr>
          <w:rFonts w:ascii="Arial Nova Cond Light" w:hAnsi="Arial Nova Cond Light"/>
          <w:b/>
          <w:sz w:val="24"/>
          <w:szCs w:val="24"/>
        </w:rPr>
        <w:t>charakter</w:t>
      </w:r>
      <w:r w:rsidR="00DD0FB1">
        <w:rPr>
          <w:rFonts w:ascii="Arial Nova Cond Light" w:hAnsi="Arial Nova Cond Light"/>
          <w:sz w:val="24"/>
          <w:szCs w:val="24"/>
        </w:rPr>
        <w:t xml:space="preserve"> (daný</w:t>
      </w:r>
      <w:r w:rsidR="00EF1564">
        <w:rPr>
          <w:rFonts w:ascii="Arial Nova Cond Light" w:hAnsi="Arial Nova Cond Light"/>
          <w:sz w:val="24"/>
          <w:szCs w:val="24"/>
        </w:rPr>
        <w:t xml:space="preserve"> zejména vynucováním odpovědnosti za škodu – tedy hmotnou odpovědností </w:t>
      </w:r>
      <w:r w:rsidR="00DD0FB1">
        <w:rPr>
          <w:rFonts w:ascii="Arial Nova Cond Light" w:hAnsi="Arial Nova Cond Light"/>
          <w:sz w:val="24"/>
          <w:szCs w:val="24"/>
        </w:rPr>
        <w:t>vlastníků a manažerů) či</w:t>
      </w:r>
      <w:r w:rsidR="007F7DA2">
        <w:rPr>
          <w:rFonts w:ascii="Arial Nova Cond Light" w:hAnsi="Arial Nova Cond Light"/>
          <w:sz w:val="24"/>
          <w:szCs w:val="24"/>
        </w:rPr>
        <w:t xml:space="preserve"> </w:t>
      </w:r>
      <w:r w:rsidR="00DD0FB1" w:rsidRPr="00DD0FB1">
        <w:rPr>
          <w:rFonts w:ascii="Arial Nova Cond Light" w:hAnsi="Arial Nova Cond Light"/>
          <w:b/>
          <w:sz w:val="24"/>
          <w:szCs w:val="24"/>
        </w:rPr>
        <w:t>charakter</w:t>
      </w:r>
      <w:r>
        <w:rPr>
          <w:rFonts w:ascii="Arial Nova Cond Light" w:hAnsi="Arial Nova Cond Light"/>
          <w:sz w:val="24"/>
          <w:szCs w:val="24"/>
        </w:rPr>
        <w:t xml:space="preserve"> </w:t>
      </w:r>
      <w:r w:rsidR="007F7DA2" w:rsidRPr="00DD0FB1">
        <w:rPr>
          <w:rFonts w:ascii="Arial Nova Cond Light" w:hAnsi="Arial Nova Cond Light"/>
          <w:b/>
          <w:sz w:val="24"/>
          <w:szCs w:val="24"/>
        </w:rPr>
        <w:t>pozitivní</w:t>
      </w:r>
      <w:r w:rsidR="007F7DA2">
        <w:rPr>
          <w:rFonts w:ascii="Arial Nova Cond Light" w:hAnsi="Arial Nova Cond Light"/>
          <w:sz w:val="24"/>
          <w:szCs w:val="24"/>
        </w:rPr>
        <w:t>,</w:t>
      </w:r>
      <w:r w:rsidR="00DD0FB1">
        <w:rPr>
          <w:rFonts w:ascii="Arial Nova Cond Light" w:hAnsi="Arial Nova Cond Light"/>
          <w:sz w:val="24"/>
          <w:szCs w:val="24"/>
        </w:rPr>
        <w:t xml:space="preserve"> který</w:t>
      </w:r>
      <w:r>
        <w:rPr>
          <w:rFonts w:ascii="Arial Nova Cond Light" w:hAnsi="Arial Nova Cond Light"/>
          <w:sz w:val="24"/>
          <w:szCs w:val="24"/>
        </w:rPr>
        <w:t xml:space="preserve"> je</w:t>
      </w:r>
      <w:r w:rsidR="00DD0FB1">
        <w:rPr>
          <w:rFonts w:ascii="Arial Nova Cond Light" w:hAnsi="Arial Nova Cond Light"/>
          <w:sz w:val="24"/>
          <w:szCs w:val="24"/>
        </w:rPr>
        <w:t xml:space="preserve"> dán</w:t>
      </w:r>
      <w:r w:rsidR="007F7DA2">
        <w:rPr>
          <w:rFonts w:ascii="Arial Nova Cond Light" w:hAnsi="Arial Nova Cond Light"/>
          <w:sz w:val="24"/>
          <w:szCs w:val="24"/>
        </w:rPr>
        <w:t xml:space="preserve"> zejména nabídkou pro podniky a jejich vlastníky řešit situaci včas. </w:t>
      </w:r>
    </w:p>
    <w:p w:rsidR="00FC42C9" w:rsidRDefault="0017228C" w:rsidP="00EF1564">
      <w:pPr>
        <w:jc w:val="both"/>
        <w:rPr>
          <w:rFonts w:ascii="Arial Nova Cond Light" w:hAnsi="Arial Nova Cond Light"/>
          <w:sz w:val="24"/>
          <w:szCs w:val="24"/>
        </w:rPr>
      </w:pPr>
      <w:r>
        <w:rPr>
          <w:rFonts w:ascii="Arial Nova Cond Light" w:hAnsi="Arial Nova Cond Light"/>
          <w:sz w:val="24"/>
          <w:szCs w:val="24"/>
        </w:rPr>
        <w:t xml:space="preserve">V průběhu kolokvia </w:t>
      </w:r>
      <w:r w:rsidR="00DD0FB1">
        <w:rPr>
          <w:rFonts w:ascii="Arial Nova Cond Light" w:hAnsi="Arial Nova Cond Light"/>
          <w:sz w:val="24"/>
          <w:szCs w:val="24"/>
        </w:rPr>
        <w:t xml:space="preserve">také </w:t>
      </w:r>
      <w:r>
        <w:rPr>
          <w:rFonts w:ascii="Arial Nova Cond Light" w:hAnsi="Arial Nova Cond Light"/>
          <w:sz w:val="24"/>
          <w:szCs w:val="24"/>
        </w:rPr>
        <w:t>zazněl dotaz</w:t>
      </w:r>
      <w:r w:rsidR="00FC42C9">
        <w:rPr>
          <w:rFonts w:ascii="Arial Nova Cond Light" w:hAnsi="Arial Nova Cond Light"/>
          <w:sz w:val="24"/>
          <w:szCs w:val="24"/>
        </w:rPr>
        <w:t xml:space="preserve">, proč soudy více nevyužívají možnost v rámci předběžného opatření uložit dotčeným osobám (managementu a vlastníkovi) </w:t>
      </w:r>
      <w:r w:rsidR="00FC42C9" w:rsidRPr="00DD0FB1">
        <w:rPr>
          <w:rFonts w:ascii="Arial Nova Cond Light" w:hAnsi="Arial Nova Cond Light"/>
          <w:b/>
          <w:sz w:val="24"/>
          <w:szCs w:val="24"/>
        </w:rPr>
        <w:t>povinnost, složit částku očekávané škody</w:t>
      </w:r>
      <w:r w:rsidR="00FC42C9">
        <w:rPr>
          <w:rFonts w:ascii="Arial Nova Cond Light" w:hAnsi="Arial Nova Cond Light"/>
          <w:sz w:val="24"/>
          <w:szCs w:val="24"/>
        </w:rPr>
        <w:t xml:space="preserve"> způso</w:t>
      </w:r>
      <w:r>
        <w:rPr>
          <w:rFonts w:ascii="Arial Nova Cond Light" w:hAnsi="Arial Nova Cond Light"/>
          <w:sz w:val="24"/>
          <w:szCs w:val="24"/>
        </w:rPr>
        <w:t xml:space="preserve">bené neřešením úpadkové situace. Jeden z účastníků kolokvia na něj odpověděl ve smyslu, </w:t>
      </w:r>
      <w:r w:rsidR="00FC42C9">
        <w:rPr>
          <w:rFonts w:ascii="Arial Nova Cond Light" w:hAnsi="Arial Nova Cond Light"/>
          <w:sz w:val="24"/>
          <w:szCs w:val="24"/>
        </w:rPr>
        <w:t>že současná právní úprava sice takové řešení umožňuje, avšak dotčeným osobám by byly „blokovány“ po dlouhou dobu (až do pravomocného vyřešení sporu o náhradu škody, která nad to může začít až po uplynutí značné doby) významné prostředky (významná část jejich majetku) bez možnosti obrany (z důvodu, že spor o náhradu škody může být zahájen až po uplynutí značné doby).</w:t>
      </w:r>
    </w:p>
    <w:p w:rsidR="00EF1564" w:rsidRDefault="0017228C" w:rsidP="00EF1564">
      <w:pPr>
        <w:jc w:val="both"/>
        <w:rPr>
          <w:rFonts w:ascii="Arial Nova Cond Light" w:hAnsi="Arial Nova Cond Light"/>
          <w:sz w:val="24"/>
          <w:szCs w:val="24"/>
        </w:rPr>
      </w:pPr>
      <w:r>
        <w:rPr>
          <w:rFonts w:ascii="Arial Nova Cond Light" w:hAnsi="Arial Nova Cond Light"/>
          <w:sz w:val="24"/>
          <w:szCs w:val="24"/>
        </w:rPr>
        <w:lastRenderedPageBreak/>
        <w:t>Ze závěrů vyplynulo, že j</w:t>
      </w:r>
      <w:r w:rsidR="007F7DA2">
        <w:rPr>
          <w:rFonts w:ascii="Arial Nova Cond Light" w:hAnsi="Arial Nova Cond Light"/>
          <w:sz w:val="24"/>
          <w:szCs w:val="24"/>
        </w:rPr>
        <w:t xml:space="preserve">ako </w:t>
      </w:r>
      <w:r w:rsidR="007F7DA2" w:rsidRPr="00DD0FB1">
        <w:rPr>
          <w:rFonts w:ascii="Arial Nova Cond Light" w:hAnsi="Arial Nova Cond Light"/>
          <w:b/>
          <w:sz w:val="24"/>
          <w:szCs w:val="24"/>
        </w:rPr>
        <w:t>klíčový prvek pozitivní motivace</w:t>
      </w:r>
      <w:r>
        <w:rPr>
          <w:rFonts w:ascii="Arial Nova Cond Light" w:hAnsi="Arial Nova Cond Light"/>
          <w:sz w:val="24"/>
          <w:szCs w:val="24"/>
        </w:rPr>
        <w:t xml:space="preserve"> lze považovat fakt,</w:t>
      </w:r>
      <w:r w:rsidR="007F7DA2">
        <w:rPr>
          <w:rFonts w:ascii="Arial Nova Cond Light" w:hAnsi="Arial Nova Cond Light"/>
          <w:sz w:val="24"/>
          <w:szCs w:val="24"/>
        </w:rPr>
        <w:t xml:space="preserve"> že po úspěšné preventivní restrukturalizaci může být pro vlastníka zachováno vlastnictví společnosti a pro věřitele kooperační vztahy. </w:t>
      </w:r>
    </w:p>
    <w:p w:rsidR="000F5F28" w:rsidRDefault="0017228C" w:rsidP="00EF1564">
      <w:pPr>
        <w:jc w:val="both"/>
        <w:rPr>
          <w:rFonts w:ascii="Arial Nova Cond Light" w:hAnsi="Arial Nova Cond Light"/>
          <w:sz w:val="24"/>
          <w:szCs w:val="24"/>
        </w:rPr>
      </w:pPr>
      <w:r>
        <w:rPr>
          <w:rFonts w:ascii="Arial Nova Cond Light" w:hAnsi="Arial Nova Cond Light"/>
          <w:sz w:val="24"/>
          <w:szCs w:val="24"/>
        </w:rPr>
        <w:t xml:space="preserve">Zajímavým názorem, který kombinuje </w:t>
      </w:r>
      <w:r w:rsidR="00843886">
        <w:rPr>
          <w:rFonts w:ascii="Arial Nova Cond Light" w:hAnsi="Arial Nova Cond Light"/>
          <w:sz w:val="24"/>
          <w:szCs w:val="24"/>
        </w:rPr>
        <w:t xml:space="preserve">principy </w:t>
      </w:r>
      <w:r>
        <w:rPr>
          <w:rFonts w:ascii="Arial Nova Cond Light" w:hAnsi="Arial Nova Cond Light"/>
          <w:sz w:val="24"/>
          <w:szCs w:val="24"/>
        </w:rPr>
        <w:t>pozitivní a negativní motivaci, byla myšlenka</w:t>
      </w:r>
      <w:r w:rsidR="00843886">
        <w:rPr>
          <w:rFonts w:ascii="Arial Nova Cond Light" w:hAnsi="Arial Nova Cond Light"/>
          <w:sz w:val="24"/>
          <w:szCs w:val="24"/>
        </w:rPr>
        <w:t xml:space="preserve"> </w:t>
      </w:r>
      <w:r w:rsidR="000F5F28">
        <w:rPr>
          <w:rFonts w:ascii="Arial Nova Cond Light" w:hAnsi="Arial Nova Cond Light"/>
          <w:sz w:val="24"/>
          <w:szCs w:val="24"/>
        </w:rPr>
        <w:t xml:space="preserve">spočívající ve zrušení reorganizace jako způsobu řešení úpadku a její ukotvení v rámci neformální restrukturalizace s tím, že jediným způsobem řešení úpadku by zůstal konkurs, který pro vlastníka znamená ztrátu vlastnictví. Tedy jinými slovy, učinit ze stávající reorganizace </w:t>
      </w:r>
      <w:bookmarkStart w:id="0" w:name="_GoBack"/>
      <w:r w:rsidR="000F5F28" w:rsidRPr="00843886">
        <w:rPr>
          <w:rFonts w:ascii="Arial Nova Cond Light" w:hAnsi="Arial Nova Cond Light"/>
          <w:b/>
          <w:sz w:val="24"/>
          <w:szCs w:val="24"/>
        </w:rPr>
        <w:t>preventivní restrukturalizaci</w:t>
      </w:r>
      <w:bookmarkEnd w:id="0"/>
      <w:r w:rsidR="000F5F28">
        <w:rPr>
          <w:rFonts w:ascii="Arial Nova Cond Light" w:hAnsi="Arial Nova Cond Light"/>
          <w:sz w:val="24"/>
          <w:szCs w:val="24"/>
        </w:rPr>
        <w:t>, která představuje v podstatě dohodu podniku s věřiteli s minimální ingerencí soudní moci (neboť těžiště spočívá právě v takové dohodě)</w:t>
      </w:r>
      <w:r w:rsidR="00FC42C9">
        <w:rPr>
          <w:rFonts w:ascii="Arial Nova Cond Light" w:hAnsi="Arial Nova Cond Light"/>
          <w:sz w:val="24"/>
          <w:szCs w:val="24"/>
        </w:rPr>
        <w:t>.</w:t>
      </w:r>
    </w:p>
    <w:p w:rsidR="00377F45" w:rsidRPr="00EF1564" w:rsidRDefault="00377F45" w:rsidP="00EF1564">
      <w:pPr>
        <w:jc w:val="both"/>
        <w:rPr>
          <w:rFonts w:ascii="Arial Nova Cond Light" w:hAnsi="Arial Nova Cond Light"/>
          <w:sz w:val="24"/>
          <w:szCs w:val="24"/>
        </w:rPr>
      </w:pPr>
    </w:p>
    <w:sectPr w:rsidR="00377F45" w:rsidRPr="00EF1564" w:rsidSect="001A729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59" w:rsidRDefault="007E7959" w:rsidP="001A7291">
      <w:pPr>
        <w:spacing w:after="0" w:line="240" w:lineRule="auto"/>
      </w:pPr>
      <w:r>
        <w:separator/>
      </w:r>
    </w:p>
  </w:endnote>
  <w:endnote w:type="continuationSeparator" w:id="0">
    <w:p w:rsidR="007E7959" w:rsidRDefault="007E7959" w:rsidP="001A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84329"/>
      <w:docPartObj>
        <w:docPartGallery w:val="Page Numbers (Bottom of Page)"/>
        <w:docPartUnique/>
      </w:docPartObj>
    </w:sdtPr>
    <w:sdtEndPr>
      <w:rPr>
        <w:rFonts w:ascii="Arial Nova Cond Light" w:hAnsi="Arial Nova Cond Light"/>
      </w:rPr>
    </w:sdtEndPr>
    <w:sdtContent>
      <w:p w:rsidR="00007103" w:rsidRPr="001A7291" w:rsidRDefault="00007103">
        <w:pPr>
          <w:pStyle w:val="Zpat"/>
          <w:jc w:val="center"/>
          <w:rPr>
            <w:rFonts w:ascii="Arial Nova Cond Light" w:hAnsi="Arial Nova Cond Light"/>
          </w:rPr>
        </w:pPr>
        <w:r w:rsidRPr="001A7291">
          <w:rPr>
            <w:rFonts w:ascii="Arial Nova Cond Light" w:hAnsi="Arial Nova Cond Light"/>
          </w:rPr>
          <w:fldChar w:fldCharType="begin"/>
        </w:r>
        <w:r w:rsidRPr="001A7291">
          <w:rPr>
            <w:rFonts w:ascii="Arial Nova Cond Light" w:hAnsi="Arial Nova Cond Light"/>
          </w:rPr>
          <w:instrText>PAGE   \* MERGEFORMAT</w:instrText>
        </w:r>
        <w:r w:rsidRPr="001A7291">
          <w:rPr>
            <w:rFonts w:ascii="Arial Nova Cond Light" w:hAnsi="Arial Nova Cond Light"/>
          </w:rPr>
          <w:fldChar w:fldCharType="separate"/>
        </w:r>
        <w:r w:rsidR="003A3422">
          <w:rPr>
            <w:rFonts w:ascii="Arial Nova Cond Light" w:hAnsi="Arial Nova Cond Light"/>
            <w:noProof/>
          </w:rPr>
          <w:t>12</w:t>
        </w:r>
        <w:r w:rsidRPr="001A7291">
          <w:rPr>
            <w:rFonts w:ascii="Arial Nova Cond Light" w:hAnsi="Arial Nova Cond Light"/>
          </w:rPr>
          <w:fldChar w:fldCharType="end"/>
        </w:r>
      </w:p>
    </w:sdtContent>
  </w:sdt>
  <w:p w:rsidR="00007103" w:rsidRDefault="000071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59" w:rsidRDefault="007E7959" w:rsidP="001A7291">
      <w:pPr>
        <w:spacing w:after="0" w:line="240" w:lineRule="auto"/>
      </w:pPr>
      <w:r>
        <w:separator/>
      </w:r>
    </w:p>
  </w:footnote>
  <w:footnote w:type="continuationSeparator" w:id="0">
    <w:p w:rsidR="007E7959" w:rsidRDefault="007E7959" w:rsidP="001A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1A"/>
    <w:rsid w:val="00004DE7"/>
    <w:rsid w:val="00007103"/>
    <w:rsid w:val="00013000"/>
    <w:rsid w:val="000475D9"/>
    <w:rsid w:val="00066684"/>
    <w:rsid w:val="000F5F28"/>
    <w:rsid w:val="001021CC"/>
    <w:rsid w:val="001106E3"/>
    <w:rsid w:val="0013216E"/>
    <w:rsid w:val="00136B14"/>
    <w:rsid w:val="001541AA"/>
    <w:rsid w:val="00166BC1"/>
    <w:rsid w:val="00167042"/>
    <w:rsid w:val="0017228C"/>
    <w:rsid w:val="00175718"/>
    <w:rsid w:val="0018195A"/>
    <w:rsid w:val="00181D74"/>
    <w:rsid w:val="00183696"/>
    <w:rsid w:val="00195135"/>
    <w:rsid w:val="0019667E"/>
    <w:rsid w:val="001A7291"/>
    <w:rsid w:val="001D212D"/>
    <w:rsid w:val="001D36F5"/>
    <w:rsid w:val="001F0BD8"/>
    <w:rsid w:val="001F2E2F"/>
    <w:rsid w:val="00207C3D"/>
    <w:rsid w:val="00230208"/>
    <w:rsid w:val="00243C8F"/>
    <w:rsid w:val="00245D79"/>
    <w:rsid w:val="00253F72"/>
    <w:rsid w:val="00280308"/>
    <w:rsid w:val="00291533"/>
    <w:rsid w:val="00296582"/>
    <w:rsid w:val="002B1159"/>
    <w:rsid w:val="002D50FD"/>
    <w:rsid w:val="002E1A18"/>
    <w:rsid w:val="002E1D55"/>
    <w:rsid w:val="0030752E"/>
    <w:rsid w:val="003162BC"/>
    <w:rsid w:val="00317A9B"/>
    <w:rsid w:val="003418A4"/>
    <w:rsid w:val="0034292F"/>
    <w:rsid w:val="0034767D"/>
    <w:rsid w:val="00377F45"/>
    <w:rsid w:val="003A3422"/>
    <w:rsid w:val="003A7606"/>
    <w:rsid w:val="003D6730"/>
    <w:rsid w:val="003D6909"/>
    <w:rsid w:val="003F69BD"/>
    <w:rsid w:val="00426997"/>
    <w:rsid w:val="00433DE4"/>
    <w:rsid w:val="00461009"/>
    <w:rsid w:val="00461BC6"/>
    <w:rsid w:val="00465925"/>
    <w:rsid w:val="004844CF"/>
    <w:rsid w:val="00491529"/>
    <w:rsid w:val="004A6A9E"/>
    <w:rsid w:val="004A7EAF"/>
    <w:rsid w:val="004C23E7"/>
    <w:rsid w:val="004E523E"/>
    <w:rsid w:val="00507DF0"/>
    <w:rsid w:val="005235F6"/>
    <w:rsid w:val="005343D3"/>
    <w:rsid w:val="00537574"/>
    <w:rsid w:val="00550B00"/>
    <w:rsid w:val="00552AF6"/>
    <w:rsid w:val="0058574F"/>
    <w:rsid w:val="005B4C0D"/>
    <w:rsid w:val="005D4414"/>
    <w:rsid w:val="005F3647"/>
    <w:rsid w:val="0060169A"/>
    <w:rsid w:val="00622BCA"/>
    <w:rsid w:val="00627F8C"/>
    <w:rsid w:val="0066209F"/>
    <w:rsid w:val="00665B9D"/>
    <w:rsid w:val="00676E5E"/>
    <w:rsid w:val="006774BB"/>
    <w:rsid w:val="00677FF3"/>
    <w:rsid w:val="006873B7"/>
    <w:rsid w:val="006A291C"/>
    <w:rsid w:val="006C2EFF"/>
    <w:rsid w:val="006D6DBA"/>
    <w:rsid w:val="006E153D"/>
    <w:rsid w:val="006E3011"/>
    <w:rsid w:val="006F3646"/>
    <w:rsid w:val="00700F34"/>
    <w:rsid w:val="00706F1F"/>
    <w:rsid w:val="00713775"/>
    <w:rsid w:val="007429C4"/>
    <w:rsid w:val="00745C20"/>
    <w:rsid w:val="00770AEC"/>
    <w:rsid w:val="007914BB"/>
    <w:rsid w:val="007C45E1"/>
    <w:rsid w:val="007E076C"/>
    <w:rsid w:val="007E25AA"/>
    <w:rsid w:val="007E2F99"/>
    <w:rsid w:val="007E7959"/>
    <w:rsid w:val="007F6F5A"/>
    <w:rsid w:val="007F7DA2"/>
    <w:rsid w:val="00807B7F"/>
    <w:rsid w:val="0081301A"/>
    <w:rsid w:val="00813CC4"/>
    <w:rsid w:val="00824B10"/>
    <w:rsid w:val="00843886"/>
    <w:rsid w:val="008440FF"/>
    <w:rsid w:val="00847272"/>
    <w:rsid w:val="008627BC"/>
    <w:rsid w:val="00862C6F"/>
    <w:rsid w:val="008A2862"/>
    <w:rsid w:val="008A4004"/>
    <w:rsid w:val="008E6D75"/>
    <w:rsid w:val="00904EEA"/>
    <w:rsid w:val="009173EA"/>
    <w:rsid w:val="0092584C"/>
    <w:rsid w:val="00950E92"/>
    <w:rsid w:val="009620F8"/>
    <w:rsid w:val="00962586"/>
    <w:rsid w:val="00973E7E"/>
    <w:rsid w:val="009B0A0A"/>
    <w:rsid w:val="009B43E3"/>
    <w:rsid w:val="009E0022"/>
    <w:rsid w:val="009E5978"/>
    <w:rsid w:val="009E7438"/>
    <w:rsid w:val="00A30F0F"/>
    <w:rsid w:val="00AA02EE"/>
    <w:rsid w:val="00AA7DDB"/>
    <w:rsid w:val="00AD084E"/>
    <w:rsid w:val="00AE5E0B"/>
    <w:rsid w:val="00B00981"/>
    <w:rsid w:val="00B161D2"/>
    <w:rsid w:val="00B30527"/>
    <w:rsid w:val="00B329D3"/>
    <w:rsid w:val="00B41D5A"/>
    <w:rsid w:val="00B468F9"/>
    <w:rsid w:val="00B46C82"/>
    <w:rsid w:val="00B67951"/>
    <w:rsid w:val="00B71C34"/>
    <w:rsid w:val="00B74CAA"/>
    <w:rsid w:val="00B82353"/>
    <w:rsid w:val="00B97985"/>
    <w:rsid w:val="00BB17D4"/>
    <w:rsid w:val="00C10B2D"/>
    <w:rsid w:val="00C47748"/>
    <w:rsid w:val="00C60959"/>
    <w:rsid w:val="00C6735B"/>
    <w:rsid w:val="00C75D1E"/>
    <w:rsid w:val="00C77B2F"/>
    <w:rsid w:val="00C84830"/>
    <w:rsid w:val="00C953C8"/>
    <w:rsid w:val="00CC2806"/>
    <w:rsid w:val="00CE6AF5"/>
    <w:rsid w:val="00D75F2D"/>
    <w:rsid w:val="00D80DA7"/>
    <w:rsid w:val="00DC1D4B"/>
    <w:rsid w:val="00DD0FB1"/>
    <w:rsid w:val="00DD343E"/>
    <w:rsid w:val="00DD3FC4"/>
    <w:rsid w:val="00E07B9F"/>
    <w:rsid w:val="00E70F74"/>
    <w:rsid w:val="00E75770"/>
    <w:rsid w:val="00E801C9"/>
    <w:rsid w:val="00E97245"/>
    <w:rsid w:val="00EC01BC"/>
    <w:rsid w:val="00ED1D7C"/>
    <w:rsid w:val="00EE559B"/>
    <w:rsid w:val="00EF077B"/>
    <w:rsid w:val="00EF1564"/>
    <w:rsid w:val="00F23746"/>
    <w:rsid w:val="00F50AE6"/>
    <w:rsid w:val="00F53B6D"/>
    <w:rsid w:val="00F67C43"/>
    <w:rsid w:val="00F705B0"/>
    <w:rsid w:val="00F90E37"/>
    <w:rsid w:val="00F93571"/>
    <w:rsid w:val="00FC4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658F-C927-4B1A-827C-403267C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ascii="Arial Nova Cond Light" w:eastAsiaTheme="minorEastAsia" w:hAnsi="Arial Nova Cond Light"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16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18460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Jaroslav Schoenfeld</cp:lastModifiedBy>
  <cp:revision>2</cp:revision>
  <cp:lastPrinted>2019-04-02T14:17:00Z</cp:lastPrinted>
  <dcterms:created xsi:type="dcterms:W3CDTF">2019-05-17T08:34:00Z</dcterms:created>
  <dcterms:modified xsi:type="dcterms:W3CDTF">2019-05-17T08:34:00Z</dcterms:modified>
</cp:coreProperties>
</file>